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bookmarkStart w:id="0" w:name="_GoBack"/>
      <w:r>
        <w:rPr>
          <w:rFonts w:hint="eastAsia" w:ascii="宋体" w:hAnsi="宋体" w:cs="宋体"/>
          <w:b/>
          <w:i w:val="0"/>
          <w:iCs w:val="0"/>
          <w:color w:val="000000"/>
          <w:kern w:val="0"/>
          <w:sz w:val="48"/>
          <w:szCs w:val="48"/>
          <w:u w:val="none"/>
          <w:lang w:val="en-US" w:eastAsia="zh-CN" w:bidi="ar"/>
        </w:rPr>
        <w:t>背景音乐</w:t>
      </w:r>
      <w:r>
        <w:rPr>
          <w:rFonts w:hint="eastAsia" w:ascii="宋体" w:hAnsi="宋体" w:eastAsia="宋体" w:cs="宋体"/>
          <w:b/>
          <w:i w:val="0"/>
          <w:iCs w:val="0"/>
          <w:color w:val="000000"/>
          <w:kern w:val="0"/>
          <w:sz w:val="48"/>
          <w:szCs w:val="48"/>
          <w:u w:val="none"/>
          <w:lang w:val="en-US" w:eastAsia="zh-CN" w:bidi="ar"/>
        </w:rPr>
        <w:t>设备</w:t>
      </w:r>
      <w:bookmarkEnd w:id="0"/>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3E1B57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490523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A66BF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D63CB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18A449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3476C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备注所投品牌型号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E19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D2D4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93B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1D90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3A0B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600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49FC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智能化广播主机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1.广播对讲网络系统是将计算机网络、PSTN电信网络、移动通讯网络三者融合在一起的综合音视频通讯系统。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2.系统中的设备可在局域网中与PSTN网络、移动通讯网络中的设备互联互通，借助网络融合的优势，以较低的成本实现便捷的语音、视频对讲及广播功能。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3.系统服务器采用工业级主机，系统稳定可靠，内置SSD固态硬盘，铝合金面板。全天24小时工作，能在低温和高温的环境下长期稳定运行，借助于成熟的以太网络硬件，整套系统无需额外的线路维护。</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4.通过此服务器，可对所有同一网络中的终端设备进行配置、管理、维护。</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5.专业机架式机箱体设计，采用铝合金结构，有较高防磁、防尘、防冲击能力。</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6.成熟的IP融合技术，支持互联网与电信网融合，支持固话/移动号码与IP网络终端间的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7.高清HD语音会话；提供局域网环境下的低延迟广播、对讲、会议、录音、监听等功能。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8.强大的VOIP中继服务器，支持与Cisco、Avaya、HUAWEI、3CX等国内外知名VOIP服务器无缝桥接，实现多系统间语音、视频、文本信息交互。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9.支持与海康、大华等主流摄像头联动，实现事件触发、事件播报等AI广播功能，集成讯飞TTS文字转语音模块，语音清晰自然。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10.基于LInux系统，B/S架构，任意PC、移动平台的浏览器均可登录操作；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11.具有背景广播、紧急广播、语音对讲、视频对讲、监听、监控功能；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12.可对所有分区进行自定义分组操作，对分区进行广播、调节音量操作；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13.显示分组信息、分区状态（开关/音量/实时节目名称）、节目列表、定时点信息；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14.可对一个或多个分组/分区进行广播节目操作；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15.可创建50个定时方案，每个定时方案可包括无限个定时点，定时方案支持备份存储，可直接导入/导出使用。可添加/修改/删除定时点，把定时点下发给指定分区；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16.采用17.3英寸工业级触摸显示屏，内置大容量固态硬盘，具有触控灵敏、读写速度快、功耗低等特点。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17.可集中管理所有网络终端设备，可对终端设备的节目源、定时方案和设备的升级维护；</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18.网络 RTL8111F千兆网卡芯片，支持网络唤醒/PXE功能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19.升级维护方便快捷（支持云升级、远程升级、本地升级）；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20.10/100M 自适应，支持DHCP/IP设定；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21.支持PSTN电话扩展卡。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22.支持音频采集卡。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23.配置有多个USB接口和VGA接口，方便扩展输入输出。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24.USB 前置：USB×2，后置：USB×4</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25.配置有隐藏式推拉键盘和触控板，无需外接键盘鼠标即可操作。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26.显示屏 17.3 寸1920×1080，电阻式触摸屏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27.视频接口 VGA、HDMI</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28.处理器 Intel® Core™ I5 4430 3.0GHz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29.内存 4G/DDR3，硬盘 120G固态硬盘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30.支持协议 TCP/IP、UDP、ICMP、IGMP（组播）</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31.电源输入 ATX 宽压电源(AC 127-240V～/47-63Hz/7/3.5A)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32.工作温度、湿度 -10℃～50℃，≤90%RH（无结露）</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7DD9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92CF6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ITC、迪士普、音桥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529A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FBF8A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389799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ED62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2A9B84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DVD播放器</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D6BAA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1.CD/MP3/VCD/DVD/WAV 播放功能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高亮度动态 VFD 显示，清晰醒目；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2.具有曲目直选功能；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3.具有通电后自动播放功能；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性能规格：</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1.频率响应 20Hz-20kHz（±3dB）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2.信噪比 90dB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3.动态范围 90dB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4.谐波失真 0.005%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抖晃 可测极限之下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5.输出电平 0dBV</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6.保护 AC 保险丝</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7.电源 AC220V/50Hz</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E1FD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E8ED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04755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ITC、迪士普、音桥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A43E5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73087C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6DA93A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89A6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61C297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电源时序器</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91330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1.独立的八路大功率电源输出，万能插座，可满足多种三极的电源插座，如国标插座、美标插座以及欧标插座等；还可满足二极欧式的圆头插座；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2.单路最大输出为 10A，总输入电流容量 16A；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3.八路通道开关状态可由面板控制操作和显示；通过面板一键开关，可时序关启通道，实现时序功能；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4.开机时由前级到后级按顺序逐个启动各类设备，关机时由后级到前级逐个关闭各个设备，有效的统一管理控制用电设备，确保整个系统的稳定运行；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5.可广泛用于多媒体教室、多功能厅、会议室、投影拼接、视频会议、监控中心、楼宇控制、管理指挥中心等领域。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6.性能规格：</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7.电源输出：8路，万能插座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8.单路最大负荷：10A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9.控制方式：手动顺序启动、外接短路信号触发启动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10.电源容量：总容量220V，16A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11.输入电源：AC220/50Hz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12.时序间隔：0.4-0.5s</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1467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0C89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DD58D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ITC、迪士普、音桥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3021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CF9A5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16C646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0711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3D6B9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话筒</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0C5B0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1.操作便捷，适应不同；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2.支持终端即插即用；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3.具有延时自动关闭功能；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4.可弯曲式话筒。话筒输出电压600mV±10mV或20mV±10%（非平衡）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5.钟声额定输出电压600mV±10mV或20mV±10%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6.输出钟声种类CHIMEUP：上音符1-3-5-і-CHIMEDOWN：下音符i-5-3-1-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7.频率范围100Hz-15kHz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8.失真度MIC：≤1%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E2042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6C2B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210FE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ITC、迪士普、音桥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152AF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7C305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CF7F5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F6B2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2ABD5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功放（250W）</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CE15F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1.三个话筒输入口，两个辅助输入口，一个辅助输出口,最宜于公共广播。</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2.100V, 70V定压输出和P1输出。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3.有默音功能,便于插入优先广播。</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4.各通道独立音量控制。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5.高音和低音音调控制。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6.5单位LED 电平表,甚易监察工作状态。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7.额定输出功率: 250W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8.输出方式: 4~16欧，70V、100V定压输出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9.辅助输出电平: 1000 mV±100mV</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10.话筒：≤5.5mV（不平衡）,线路：≤300mV（不平衡）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11.频率响应: 80Hz-15KHz（±3dB）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12.总谐波失真 ≤1% （1KHz，正常工作条件）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13.信噪比 线路输入：≥74dB（宽带）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14.音调调节范围:低音：±10dB（100Hz）,高音：±10dB（10kHz)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15.保护:交流保险丝, 直流输出，过载, 输出短路保护并告警。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16.默音功能 Mic1 输入覆盖其它输入（衰减0 到 -30dB）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17.电源 AC 220V/50Hz</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310D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835C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5EAEB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ITC、迪士普、音桥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E6FF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9FC7C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360CC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C2C7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EEE39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功放（550W）</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32494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1.三个话筒输入口，两个辅助输入口，一个辅助输出口,最宜于公共广播。</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2.100V, 70V定压输出和P1输出。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3.有默音功能,便于插入优先广播。</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4.各通道独立音量控制。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5.高音和低音音调控制。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6.5单位LED 电平表,甚易监察工作状态。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7.额定输出功率: 550W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8.输出方式: 4~16欧，70V、100V定压输出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9.辅助输出电平: 1000 mV±100mV</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10.话筒：≤5.5mV（不平衡）,线路：≤300mV（不平衡）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11.频率响应: 80Hz-15KHz（±3dB）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12.总谐波失真 ≤1% （1KHz，正常工作条件）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13.信噪比 线路输入：≥74dB（宽带）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14.音调调节范围:低音：±10dB（100Hz）,高音：±10dB（10kHz)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15.保护:交流保险丝, 直流输出，过载, 输出短路保护并告警。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16.默音功能 Mic1 输入覆盖其它输入（衰减0 到 -30dB）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17.电源 AC 220V/50Hz</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9664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8FF3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72181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ITC、迪士普、音桥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79E4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7415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68CD6C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594E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C3CBC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解码器</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5EE61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1.一通道输出终端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2.基于TCP/IP协议，网络化多功能前置播放器，可跨网段工作。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3.支持SIP2.0（RFC3261）以及相关的RFC，融合集团通信功能。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4.支持窄带编码：G.711a/u；宽带编码：G.722。</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5.具有背景广播、业务广播、紧急广播等功能。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6.内置独立IP控制模块、音频输入模块，可实现独立解码播放。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7.单通道机型和四通道机型可自由搭配。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8.支持节能模式（单通道机型），在检测到无广播信号时可自动切断所挂接功放的电源，当有广播信号时可自动提前开启功放。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9.可脱离网络和主机单独运行。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10.内置大容量存储器，内置节目源，具有定时功能。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11.支持音频格式：MP3，WAV，FLAC，APE等。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12.具有高低音音效调节及低音增强。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13.可外接音源输入。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14.可通过网络广播管理软件控制、播放。</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6E88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A7B96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01423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ITC、迪士普、音桥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26632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2E9EF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795530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42E4D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E6B0C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环保仿真型草地音箱</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2EC68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1.优质树脂制成，机械强度高，造型优美，置于室外草地，品味一流；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2.工作电压70/100V，功率20W，适应不同场合；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3.最大声压级 100±2dB，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4.有效频率范围 100Hz ~ 15500Hz；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5.重5 kg，着地稳重；户外石头仿真设计；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6.选用防水单元，寿命长，</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7.灵敏度高（87±2dB），声音清晰、明亮。</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7FB9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7ABE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0DC47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ITC、迪士普、音桥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E6DE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8FEAD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66CFFB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DF4B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6C9D66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消防信号接口</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3A943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1.每台机支持32路消防报警信号接入，支持短路和5V-24V信号，可自行编程。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2.32路独立控制，支持邻区告警。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3.强行激活区可局限于事故区，也可伸展至若干个邻区，由网络化主机预编程确定。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4.可通过管理软件定制告警播放声音。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5.同一系统可以有多台机连接于网络，可任意扩展控制区域。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6.10/100M自适应，支持DHCP/静态IP，支持局域网与广域网。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7.面板设有32路电平指示灯显示工作状态。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8.1U机身设计，占用空间小，重量更轻；阳极氧化铝合金面板，美观耐用。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113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153AE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A551B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ITC、迪士普、音桥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6F06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41DAF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6E2B12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ED5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5AFD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B6DAC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远程话筒</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24C42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1.7寸TFT真彩液晶显示屏+电容触摸屏，支持五点触控。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2.最多可控制200个分区，具有分区一键全开功能。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3.具有分区寻呼和分组寻呼功能。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4.可根据需求只显示关注的分区和分组。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5.可查看分区状态信息。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6.具有多段电平指示功能，寻呼声压更直观。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7.可向分区广播主机节目库歌曲。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8.具有保存每一次寻呼记录的功能。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9.话筒在设定时间内无信号输入，可自动关闭。</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10.屏幕背光点亮时间与亮度可调，实现节能运行。</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11.具有用户密码与权限管理。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12.支持由主机推送的远程升级。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13.支持多语言切换：简体中文、英文。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369F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0D9A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4BD91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ITC、迪士普、音桥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E4E4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7550B5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645E1E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80E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8CEF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vAlign w:val="center"/>
          </w:tcPr>
          <w:p w14:paraId="628C5F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5"/>
                  <wp:cNvGraphicFramePr/>
                  <a:graphic xmlns:a="http://schemas.openxmlformats.org/drawingml/2006/main">
                    <a:graphicData uri="http://schemas.openxmlformats.org/drawingml/2006/picture">
                      <pic:pic xmlns:pic="http://schemas.openxmlformats.org/drawingml/2006/picture">
                        <pic:nvPicPr>
                          <pic:cNvPr id="2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9"/>
                  <wp:cNvGraphicFramePr/>
                  <a:graphic xmlns:a="http://schemas.openxmlformats.org/drawingml/2006/main">
                    <a:graphicData uri="http://schemas.openxmlformats.org/drawingml/2006/picture">
                      <pic:pic xmlns:pic="http://schemas.openxmlformats.org/drawingml/2006/picture">
                        <pic:nvPicPr>
                          <pic:cNvPr id="19"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5_SpCnt_1"/>
                  <wp:cNvGraphicFramePr/>
                  <a:graphic xmlns:a="http://schemas.openxmlformats.org/drawingml/2006/main">
                    <a:graphicData uri="http://schemas.openxmlformats.org/drawingml/2006/picture">
                      <pic:pic xmlns:pic="http://schemas.openxmlformats.org/drawingml/2006/picture">
                        <pic:nvPicPr>
                          <pic:cNvPr id="20"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9_SpCnt_1"/>
                  <wp:cNvGraphicFramePr/>
                  <a:graphic xmlns:a="http://schemas.openxmlformats.org/drawingml/2006/main">
                    <a:graphicData uri="http://schemas.openxmlformats.org/drawingml/2006/picture">
                      <pic:pic xmlns:pic="http://schemas.openxmlformats.org/drawingml/2006/picture">
                        <pic:nvPicPr>
                          <pic:cNvPr id="12"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12"/>
                  <wp:cNvGraphicFramePr/>
                  <a:graphic xmlns:a="http://schemas.openxmlformats.org/drawingml/2006/main">
                    <a:graphicData uri="http://schemas.openxmlformats.org/drawingml/2006/picture">
                      <pic:pic xmlns:pic="http://schemas.openxmlformats.org/drawingml/2006/picture">
                        <pic:nvPicPr>
                          <pic:cNvPr id="16"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0"/>
                  <wp:cNvGraphicFramePr/>
                  <a:graphic xmlns:a="http://schemas.openxmlformats.org/drawingml/2006/main">
                    <a:graphicData uri="http://schemas.openxmlformats.org/drawingml/2006/picture">
                      <pic:pic xmlns:pic="http://schemas.openxmlformats.org/drawingml/2006/picture">
                        <pic:nvPicPr>
                          <pic:cNvPr id="13"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9_SpCnt_2"/>
                  <wp:cNvGraphicFramePr/>
                  <a:graphic xmlns:a="http://schemas.openxmlformats.org/drawingml/2006/main">
                    <a:graphicData uri="http://schemas.openxmlformats.org/drawingml/2006/picture">
                      <pic:pic xmlns:pic="http://schemas.openxmlformats.org/drawingml/2006/picture">
                        <pic:nvPicPr>
                          <pic:cNvPr id="15"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7"/>
                  <wp:cNvGraphicFramePr/>
                  <a:graphic xmlns:a="http://schemas.openxmlformats.org/drawingml/2006/main">
                    <a:graphicData uri="http://schemas.openxmlformats.org/drawingml/2006/picture">
                      <pic:pic xmlns:pic="http://schemas.openxmlformats.org/drawingml/2006/picture">
                        <pic:nvPicPr>
                          <pic:cNvPr id="17"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5_SpCnt_2"/>
                  <wp:cNvGraphicFramePr/>
                  <a:graphic xmlns:a="http://schemas.openxmlformats.org/drawingml/2006/main">
                    <a:graphicData uri="http://schemas.openxmlformats.org/drawingml/2006/picture">
                      <pic:pic xmlns:pic="http://schemas.openxmlformats.org/drawingml/2006/picture">
                        <pic:nvPicPr>
                          <pic:cNvPr id="18"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14"/>
                  <wp:cNvGraphicFramePr/>
                  <a:graphic xmlns:a="http://schemas.openxmlformats.org/drawingml/2006/main">
                    <a:graphicData uri="http://schemas.openxmlformats.org/drawingml/2006/picture">
                      <pic:pic xmlns:pic="http://schemas.openxmlformats.org/drawingml/2006/picture">
                        <pic:nvPicPr>
                          <pic:cNvPr id="14"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2_SpCnt_1"/>
                  <wp:cNvGraphicFramePr/>
                  <a:graphic xmlns:a="http://schemas.openxmlformats.org/drawingml/2006/main">
                    <a:graphicData uri="http://schemas.openxmlformats.org/drawingml/2006/picture">
                      <pic:pic xmlns:pic="http://schemas.openxmlformats.org/drawingml/2006/picture">
                        <pic:nvPicPr>
                          <pic:cNvPr id="22"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7_SpCnt_1"/>
                  <wp:cNvGraphicFramePr/>
                  <a:graphic xmlns:a="http://schemas.openxmlformats.org/drawingml/2006/main">
                    <a:graphicData uri="http://schemas.openxmlformats.org/drawingml/2006/picture">
                      <pic:pic xmlns:pic="http://schemas.openxmlformats.org/drawingml/2006/picture">
                        <pic:nvPicPr>
                          <pic:cNvPr id="23"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4" name="Text_Box_10_SpCnt_1"/>
                  <wp:cNvGraphicFramePr/>
                  <a:graphic xmlns:a="http://schemas.openxmlformats.org/drawingml/2006/main">
                    <a:graphicData uri="http://schemas.openxmlformats.org/drawingml/2006/picture">
                      <pic:pic xmlns:pic="http://schemas.openxmlformats.org/drawingml/2006/picture">
                        <pic:nvPicPr>
                          <pic:cNvPr id="24"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_SpCnt_3"/>
                  <wp:cNvGraphicFramePr/>
                  <a:graphic xmlns:a="http://schemas.openxmlformats.org/drawingml/2006/main">
                    <a:graphicData uri="http://schemas.openxmlformats.org/drawingml/2006/picture">
                      <pic:pic xmlns:pic="http://schemas.openxmlformats.org/drawingml/2006/picture">
                        <pic:nvPicPr>
                          <pic:cNvPr id="8"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14_SpCnt_1"/>
                  <wp:cNvGraphicFramePr/>
                  <a:graphic xmlns:a="http://schemas.openxmlformats.org/drawingml/2006/main">
                    <a:graphicData uri="http://schemas.openxmlformats.org/drawingml/2006/picture">
                      <pic:pic xmlns:pic="http://schemas.openxmlformats.org/drawingml/2006/picture">
                        <pic:nvPicPr>
                          <pic:cNvPr id="6"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12_SpCnt_2"/>
                  <wp:cNvGraphicFramePr/>
                  <a:graphic xmlns:a="http://schemas.openxmlformats.org/drawingml/2006/main">
                    <a:graphicData uri="http://schemas.openxmlformats.org/drawingml/2006/picture">
                      <pic:pic xmlns:pic="http://schemas.openxmlformats.org/drawingml/2006/picture">
                        <pic:nvPicPr>
                          <pic:cNvPr id="11"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0_SpCnt_2"/>
                  <wp:cNvGraphicFramePr/>
                  <a:graphic xmlns:a="http://schemas.openxmlformats.org/drawingml/2006/main">
                    <a:graphicData uri="http://schemas.openxmlformats.org/drawingml/2006/picture">
                      <pic:pic xmlns:pic="http://schemas.openxmlformats.org/drawingml/2006/picture">
                        <pic:nvPicPr>
                          <pic:cNvPr id="4"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9_SpCnt_3"/>
                  <wp:cNvGraphicFramePr/>
                  <a:graphic xmlns:a="http://schemas.openxmlformats.org/drawingml/2006/main">
                    <a:graphicData uri="http://schemas.openxmlformats.org/drawingml/2006/picture">
                      <pic:pic xmlns:pic="http://schemas.openxmlformats.org/drawingml/2006/picture">
                        <pic:nvPicPr>
                          <pic:cNvPr id="5"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4_SpCnt_2"/>
                  <wp:cNvGraphicFramePr/>
                  <a:graphic xmlns:a="http://schemas.openxmlformats.org/drawingml/2006/main">
                    <a:graphicData uri="http://schemas.openxmlformats.org/drawingml/2006/picture">
                      <pic:pic xmlns:pic="http://schemas.openxmlformats.org/drawingml/2006/picture">
                        <pic:nvPicPr>
                          <pic:cNvPr id="7"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7_SpCnt_2"/>
                  <wp:cNvGraphicFramePr/>
                  <a:graphic xmlns:a="http://schemas.openxmlformats.org/drawingml/2006/main">
                    <a:graphicData uri="http://schemas.openxmlformats.org/drawingml/2006/picture">
                      <pic:pic xmlns:pic="http://schemas.openxmlformats.org/drawingml/2006/picture">
                        <pic:nvPicPr>
                          <pic:cNvPr id="9"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12_SpCnt_3"/>
                  <wp:cNvGraphicFramePr/>
                  <a:graphic xmlns:a="http://schemas.openxmlformats.org/drawingml/2006/main">
                    <a:graphicData uri="http://schemas.openxmlformats.org/drawingml/2006/picture">
                      <pic:pic xmlns:pic="http://schemas.openxmlformats.org/drawingml/2006/picture">
                        <pic:nvPicPr>
                          <pic:cNvPr id="2"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0_SpCnt_3"/>
                  <wp:cNvGraphicFramePr/>
                  <a:graphic xmlns:a="http://schemas.openxmlformats.org/drawingml/2006/main">
                    <a:graphicData uri="http://schemas.openxmlformats.org/drawingml/2006/picture">
                      <pic:pic xmlns:pic="http://schemas.openxmlformats.org/drawingml/2006/picture">
                        <pic:nvPicPr>
                          <pic:cNvPr id="10"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16AF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vAlign w:val="center"/>
          </w:tcPr>
          <w:p w14:paraId="50C1B8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注：以上报价含可抵扣的增值税专用发票、运费、卸货以及调试相关服务费用。</w:t>
            </w:r>
          </w:p>
        </w:tc>
      </w:tr>
      <w:tr w14:paraId="327A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3BA35B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715B4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3F047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15316F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297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547BE8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1F625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2年</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06CA4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16EF6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C4C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3DA4F7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F70B4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15天</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05343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0526DA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合同签订后个7日内支付50%预付款，货到验收合格后2个月内付清其余的货款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1、付款条件:合同签订后个7日内支付50%预付款，货到验收合格后2个月内付清其余的货款。注：付款时供应商须提供正规发票（因发票问题而导致无法正常付款的，责任由供应商自己承担）。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812</Words>
  <Characters>825</Characters>
  <Lines>0</Lines>
  <Paragraphs>0</Paragraphs>
  <TotalTime>15</TotalTime>
  <ScaleCrop>false</ScaleCrop>
  <LinksUpToDate>false</LinksUpToDate>
  <CharactersWithSpaces>1181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2025-08-15T08:26:31Z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AA0BB2766B1B4DE3BDE2FAD436D5E03A_13</vt:lpwstr>
  </property>
  <property fmtid="{D5CDD505-2E9C-101B-9397-08002B2CF9AE}" pid="4" name="KSOTemplateDocerSaveRecord">
    <vt:lpwstr>eyJoZGlkIjoiMTdmMDNkNWQ0ZWMxNjY0YzI3ODdkN2UzOWY5OGRlNzEiLCJ1c2VySWQiOiI2OTk3Mjg4NzkifQ==</vt:lpwstr>
  </property>
</Properties>
</file>