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停车场管理系统</w:t>
      </w:r>
      <w:r>
        <w:rPr>
          <w:rFonts w:hint="eastAsia" w:ascii="宋体" w:hAnsi="宋体" w:eastAsia="宋体" w:cs="宋体"/>
          <w:b/>
          <w:i w:val="0"/>
          <w:iCs w:val="0"/>
          <w:color w:val="000000"/>
          <w:kern w:val="0"/>
          <w:sz w:val="48"/>
          <w:szCs w:val="48"/>
          <w:u w:val="none"/>
          <w:lang w:val="en-US" w:eastAsia="zh-CN" w:bidi="ar"/>
        </w:rPr>
        <w:t>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C8D193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DD49156">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0363937">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CA1C1C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8"/>
        <w:gridCol w:w="1661"/>
        <w:gridCol w:w="4496"/>
        <w:gridCol w:w="1090"/>
        <w:gridCol w:w="1220"/>
        <w:gridCol w:w="1340"/>
        <w:gridCol w:w="1030"/>
        <w:gridCol w:w="965"/>
        <w:gridCol w:w="1455"/>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790" w:type="dxa"/>
            <w:gridSpan w:val="4"/>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790" w:type="dxa"/>
            <w:gridSpan w:val="4"/>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90" w:type="dxa"/>
            <w:gridSpan w:val="4"/>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90" w:type="dxa"/>
            <w:gridSpan w:val="4"/>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790" w:type="dxa"/>
            <w:gridSpan w:val="4"/>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品牌型号</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车辆出入管理软件</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采用B/S结构；能对车牌识别系统提供的号牌信息进行自动比对；能对输入的号牌信息进行自动检索；号牌信息与数据库不一致时，可以进行提示并禁止开闸放行；系统能处理业主号牌登记及自动控制道闸的动作； 所有出入车辆身份及其相关数据在系统内自动记录、传输、计算、统计及保存；系统数据库能保存业主车牌号和进出场日期、时间等数据。</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蓝卡，v1.0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jc w:val="center"/>
              <w:rPr>
                <w:rFonts w:hint="eastAsia" w:ascii="宋体" w:hAnsi="宋体" w:eastAsia="宋体" w:cs="宋体"/>
                <w:i w:val="0"/>
                <w:iCs w:val="0"/>
                <w:color w:val="000000"/>
                <w:sz w:val="24"/>
                <w:szCs w:val="24"/>
                <w:u w:val="none"/>
              </w:rPr>
            </w:pPr>
          </w:p>
        </w:tc>
        <w:tc>
          <w:tcPr>
            <w:tcW w:w="1455" w:type="dxa"/>
            <w:tcBorders>
              <w:top w:val="nil"/>
              <w:left w:val="single" w:color="000000" w:sz="4" w:space="0"/>
              <w:bottom w:val="single" w:color="000000" w:sz="4" w:space="0"/>
              <w:right w:val="single" w:color="000000" w:sz="4" w:space="0"/>
            </w:tcBorders>
            <w:shd w:val="clear" w:color="auto" w:fill="auto"/>
            <w:vAlign w:val="center"/>
          </w:tcPr>
          <w:p w14:paraId="38979914">
            <w:pPr>
              <w:rPr>
                <w:rFonts w:hint="eastAsia" w:ascii="宋体" w:hAnsi="宋体" w:eastAsia="宋体" w:cs="宋体"/>
                <w:i w:val="0"/>
                <w:iCs w:val="0"/>
                <w:color w:val="000000"/>
                <w:sz w:val="24"/>
                <w:szCs w:val="24"/>
                <w:u w:val="none"/>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广告杆自动挡车器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闸杆：广告杆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输入：AC220V、50Hz；通讯方式：TCP/IP、IO控制；闸杆起落时间：1.0~5.0秒（与闸杆有关）；外壳防护等级：IPX4；工作环境：-25℃~+70℃，小于90%RH，无凝露；电平控制输入/输出信号：DC±12V，脉宽＞150ms的脉冲信号，输出开关信号</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蓝卡，</w:t>
            </w:r>
            <w:r>
              <w:rPr>
                <w:rFonts w:hint="eastAsia" w:ascii="宋体" w:hAnsi="宋体" w:eastAsia="宋体" w:cs="宋体"/>
                <w:i w:val="0"/>
                <w:iCs w:val="0"/>
                <w:color w:val="000000"/>
                <w:kern w:val="0"/>
                <w:sz w:val="20"/>
                <w:szCs w:val="20"/>
                <w:u w:val="none"/>
                <w:lang w:val="en-US" w:eastAsia="zh-CN" w:bidi="ar"/>
              </w:rPr>
              <w:t>BCC</w:t>
            </w:r>
            <w:r>
              <w:rPr>
                <w:rFonts w:hint="eastAsia" w:ascii="宋体" w:hAnsi="宋体" w:eastAsia="宋体" w:cs="宋体"/>
                <w:i w:val="0"/>
                <w:iCs w:val="0"/>
                <w:color w:val="000000"/>
                <w:kern w:val="0"/>
                <w:sz w:val="22"/>
                <w:szCs w:val="22"/>
                <w:u w:val="none"/>
                <w:lang w:val="en-US" w:eastAsia="zh-CN" w:bidi="ar"/>
              </w:rPr>
              <w:t>-40P</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jc w:val="center"/>
              <w:rPr>
                <w:rFonts w:hint="eastAsia" w:ascii="宋体" w:hAnsi="宋体" w:eastAsia="宋体" w:cs="宋体"/>
                <w:i w:val="0"/>
                <w:iCs w:val="0"/>
                <w:color w:val="000000"/>
                <w:sz w:val="24"/>
                <w:szCs w:val="24"/>
                <w:u w:val="none"/>
              </w:rPr>
            </w:pPr>
          </w:p>
        </w:tc>
        <w:tc>
          <w:tcPr>
            <w:tcW w:w="1455" w:type="dxa"/>
            <w:tcBorders>
              <w:top w:val="nil"/>
              <w:left w:val="single" w:color="000000" w:sz="4" w:space="0"/>
              <w:bottom w:val="single" w:color="000000" w:sz="4" w:space="0"/>
              <w:right w:val="single" w:color="000000" w:sz="4" w:space="0"/>
            </w:tcBorders>
            <w:shd w:val="clear" w:color="auto" w:fill="auto"/>
            <w:vAlign w:val="center"/>
          </w:tcPr>
          <w:p w14:paraId="6DA93A25">
            <w:pPr>
              <w:rPr>
                <w:rFonts w:hint="eastAsia" w:ascii="宋体" w:hAnsi="宋体" w:eastAsia="宋体" w:cs="宋体"/>
                <w:i w:val="0"/>
                <w:iCs w:val="0"/>
                <w:color w:val="000000"/>
                <w:sz w:val="24"/>
                <w:szCs w:val="24"/>
                <w:u w:val="none"/>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直臂杆自动挡车器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闸杆：直杆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输入：AC220V、50Hz；通讯方式：TCP/IP、IO控制；闸杆起落时间：1.0~5.0秒（与闸杆有关）；外壳防护等级：IPX4；工作环境：-25℃~+70℃，小于90%RH，无凝露；电平控制输入/输出信号：DC±12V，脉宽＞150ms的脉冲信号，输出开关信号，带压力电波防砸功能。</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D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蓝卡，</w:t>
            </w:r>
            <w:r>
              <w:rPr>
                <w:rFonts w:hint="eastAsia" w:ascii="宋体" w:hAnsi="宋体" w:eastAsia="宋体" w:cs="宋体"/>
                <w:i w:val="0"/>
                <w:iCs w:val="0"/>
                <w:color w:val="000000"/>
                <w:kern w:val="0"/>
                <w:sz w:val="20"/>
                <w:szCs w:val="20"/>
                <w:u w:val="none"/>
                <w:lang w:val="en-US" w:eastAsia="zh-CN" w:bidi="ar"/>
              </w:rPr>
              <w:t>BCB</w:t>
            </w:r>
            <w:r>
              <w:rPr>
                <w:rFonts w:hint="eastAsia" w:ascii="宋体" w:hAnsi="宋体" w:eastAsia="宋体" w:cs="宋体"/>
                <w:i w:val="0"/>
                <w:iCs w:val="0"/>
                <w:color w:val="000000"/>
                <w:kern w:val="0"/>
                <w:sz w:val="22"/>
                <w:szCs w:val="22"/>
                <w:u w:val="none"/>
                <w:lang w:val="en-US" w:eastAsia="zh-CN" w:bidi="ar"/>
              </w:rPr>
              <w:t>-RGIL</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jc w:val="center"/>
              <w:rPr>
                <w:rFonts w:hint="eastAsia" w:ascii="宋体" w:hAnsi="宋体" w:eastAsia="宋体" w:cs="宋体"/>
                <w:i w:val="0"/>
                <w:iCs w:val="0"/>
                <w:color w:val="000000"/>
                <w:sz w:val="24"/>
                <w:szCs w:val="24"/>
                <w:u w:val="none"/>
              </w:rPr>
            </w:pPr>
          </w:p>
        </w:tc>
        <w:tc>
          <w:tcPr>
            <w:tcW w:w="1455" w:type="dxa"/>
            <w:tcBorders>
              <w:top w:val="nil"/>
              <w:left w:val="single" w:color="000000" w:sz="4" w:space="0"/>
              <w:bottom w:val="single" w:color="000000" w:sz="4" w:space="0"/>
              <w:right w:val="single" w:color="000000" w:sz="4" w:space="0"/>
            </w:tcBorders>
            <w:shd w:val="clear" w:color="auto" w:fill="auto"/>
            <w:vAlign w:val="center"/>
          </w:tcPr>
          <w:p w14:paraId="16C646BD">
            <w:pPr>
              <w:rPr>
                <w:rFonts w:hint="eastAsia" w:ascii="宋体" w:hAnsi="宋体" w:eastAsia="宋体" w:cs="宋体"/>
                <w:i w:val="0"/>
                <w:iCs w:val="0"/>
                <w:color w:val="000000"/>
                <w:sz w:val="24"/>
                <w:szCs w:val="24"/>
                <w:u w:val="none"/>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车辆检测器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输出信号：有车信号电平，车辆离开脉冲电平；工作频率：20K～170KHz；反应时间：500ms；继电器：220V AC/6A；线圈感应量：总体线圈加上连接线为40～1000uH 理想的值在80～300uH之间 ；线圈的连接线：≤15m，每米最少应扭绞20次；防护等级：IP30；应用标准：IEC529；线圈：采用BVR2.5线，可做成1m×2m矩形或平行四边形（边距0.8m），盘绕3-4匝；信号保持时间：不受限制，当线圈被永久“放上铁”时 ；灵敏度：分为高、中、低三档，根据实际情况调节，适用于大、中、小型汽车和摩托车；系统调节：自动补偿气候的影响，最大每小时50℃；灵敏度：0.01～0.25%三档调节</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E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蓝卡，</w:t>
            </w:r>
            <w:r>
              <w:rPr>
                <w:rFonts w:hint="eastAsia" w:ascii="宋体" w:hAnsi="宋体" w:eastAsia="宋体" w:cs="宋体"/>
                <w:i w:val="0"/>
                <w:iCs w:val="0"/>
                <w:color w:val="000000"/>
                <w:kern w:val="0"/>
                <w:sz w:val="20"/>
                <w:szCs w:val="20"/>
                <w:u w:val="none"/>
                <w:lang w:val="en-US" w:eastAsia="zh-CN" w:bidi="ar"/>
              </w:rPr>
              <w:t>BCJ</w:t>
            </w:r>
            <w:r>
              <w:rPr>
                <w:rFonts w:hint="eastAsia" w:ascii="宋体" w:hAnsi="宋体" w:eastAsia="宋体" w:cs="宋体"/>
                <w:i w:val="0"/>
                <w:iCs w:val="0"/>
                <w:color w:val="000000"/>
                <w:kern w:val="0"/>
                <w:sz w:val="22"/>
                <w:szCs w:val="22"/>
                <w:u w:val="none"/>
                <w:lang w:val="en-US" w:eastAsia="zh-CN" w:bidi="ar"/>
              </w:rPr>
              <w:t>-01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jc w:val="center"/>
              <w:rPr>
                <w:rFonts w:hint="eastAsia" w:ascii="宋体" w:hAnsi="宋体" w:eastAsia="宋体" w:cs="宋体"/>
                <w:i w:val="0"/>
                <w:iCs w:val="0"/>
                <w:color w:val="000000"/>
                <w:sz w:val="24"/>
                <w:szCs w:val="24"/>
                <w:u w:val="none"/>
              </w:rPr>
            </w:pPr>
          </w:p>
        </w:tc>
        <w:tc>
          <w:tcPr>
            <w:tcW w:w="1455" w:type="dxa"/>
            <w:tcBorders>
              <w:top w:val="nil"/>
              <w:left w:val="single" w:color="000000" w:sz="4" w:space="0"/>
              <w:bottom w:val="single" w:color="000000" w:sz="4" w:space="0"/>
              <w:right w:val="single" w:color="000000" w:sz="4" w:space="0"/>
            </w:tcBorders>
            <w:shd w:val="clear" w:color="auto" w:fill="auto"/>
            <w:vAlign w:val="center"/>
          </w:tcPr>
          <w:p w14:paraId="4CF7F5E8">
            <w:pPr>
              <w:rPr>
                <w:rFonts w:hint="eastAsia" w:ascii="宋体" w:hAnsi="宋体" w:eastAsia="宋体" w:cs="宋体"/>
                <w:i w:val="0"/>
                <w:iCs w:val="0"/>
                <w:color w:val="000000"/>
                <w:sz w:val="24"/>
                <w:szCs w:val="24"/>
                <w:u w:val="none"/>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地感线圈</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地感线圈专用线</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B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蓝卡，</w:t>
            </w:r>
            <w:r>
              <w:rPr>
                <w:rFonts w:hint="eastAsia" w:ascii="宋体" w:hAnsi="宋体" w:eastAsia="宋体" w:cs="宋体"/>
                <w:i w:val="0"/>
                <w:iCs w:val="0"/>
                <w:color w:val="000000"/>
                <w:kern w:val="0"/>
                <w:sz w:val="20"/>
                <w:szCs w:val="20"/>
                <w:u w:val="none"/>
                <w:lang w:val="en-US" w:eastAsia="zh-CN" w:bidi="ar"/>
              </w:rPr>
              <w:t>BCJ</w:t>
            </w:r>
            <w:r>
              <w:rPr>
                <w:rFonts w:hint="eastAsia" w:ascii="宋体" w:hAnsi="宋体" w:eastAsia="宋体" w:cs="宋体"/>
                <w:i w:val="0"/>
                <w:iCs w:val="0"/>
                <w:color w:val="000000"/>
                <w:kern w:val="0"/>
                <w:sz w:val="22"/>
                <w:szCs w:val="22"/>
                <w:u w:val="none"/>
                <w:lang w:val="en-US" w:eastAsia="zh-CN" w:bidi="ar"/>
              </w:rPr>
              <w:t>-04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jc w:val="center"/>
              <w:rPr>
                <w:rFonts w:hint="eastAsia" w:ascii="宋体" w:hAnsi="宋体" w:eastAsia="宋体" w:cs="宋体"/>
                <w:i w:val="0"/>
                <w:iCs w:val="0"/>
                <w:color w:val="000000"/>
                <w:sz w:val="24"/>
                <w:szCs w:val="24"/>
                <w:u w:val="none"/>
              </w:rPr>
            </w:pPr>
          </w:p>
        </w:tc>
        <w:tc>
          <w:tcPr>
            <w:tcW w:w="1455" w:type="dxa"/>
            <w:tcBorders>
              <w:top w:val="nil"/>
              <w:left w:val="single" w:color="000000" w:sz="4" w:space="0"/>
              <w:bottom w:val="single" w:color="000000" w:sz="4" w:space="0"/>
              <w:right w:val="single" w:color="000000" w:sz="4" w:space="0"/>
            </w:tcBorders>
            <w:shd w:val="clear" w:color="auto" w:fill="auto"/>
            <w:vAlign w:val="center"/>
          </w:tcPr>
          <w:p w14:paraId="0360CCD1">
            <w:pPr>
              <w:rPr>
                <w:rFonts w:hint="eastAsia" w:ascii="宋体" w:hAnsi="宋体" w:eastAsia="宋体" w:cs="宋体"/>
                <w:i w:val="0"/>
                <w:iCs w:val="0"/>
                <w:color w:val="000000"/>
                <w:sz w:val="24"/>
                <w:szCs w:val="24"/>
                <w:u w:val="none"/>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雷达感应器</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1、工作电压： 7～18V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2、工作电流： ≦200mA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3、输出接口： 继电器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4、探测距离： ≦9 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5、探测速度： 100 次/秒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6、探测区间： 通过码盘设定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7、工作模式： 连续工作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8、设备寿命： 大于 5 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抗干扰能力： TDD,FDD 抗干扰模式</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1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蓝卡，</w:t>
            </w:r>
            <w:r>
              <w:rPr>
                <w:rFonts w:hint="eastAsia" w:ascii="宋体" w:hAnsi="宋体" w:eastAsia="宋体" w:cs="宋体"/>
                <w:i w:val="0"/>
                <w:iCs w:val="0"/>
                <w:color w:val="000000"/>
                <w:kern w:val="0"/>
                <w:sz w:val="20"/>
                <w:szCs w:val="20"/>
                <w:u w:val="none"/>
                <w:lang w:val="en-US" w:eastAsia="zh-CN" w:bidi="ar"/>
              </w:rPr>
              <w:t>BR7701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jc w:val="center"/>
              <w:rPr>
                <w:rFonts w:hint="eastAsia" w:ascii="宋体" w:hAnsi="宋体" w:eastAsia="宋体" w:cs="宋体"/>
                <w:i w:val="0"/>
                <w:iCs w:val="0"/>
                <w:color w:val="000000"/>
                <w:sz w:val="24"/>
                <w:szCs w:val="24"/>
                <w:u w:val="none"/>
              </w:rPr>
            </w:pPr>
          </w:p>
        </w:tc>
        <w:tc>
          <w:tcPr>
            <w:tcW w:w="1455" w:type="dxa"/>
            <w:tcBorders>
              <w:top w:val="nil"/>
              <w:left w:val="single" w:color="000000" w:sz="4" w:space="0"/>
              <w:bottom w:val="single" w:color="000000" w:sz="4" w:space="0"/>
              <w:right w:val="single" w:color="000000" w:sz="4" w:space="0"/>
            </w:tcBorders>
            <w:shd w:val="clear" w:color="auto" w:fill="auto"/>
            <w:vAlign w:val="center"/>
          </w:tcPr>
          <w:p w14:paraId="68CD6C9E">
            <w:pPr>
              <w:rPr>
                <w:rFonts w:hint="eastAsia" w:ascii="宋体" w:hAnsi="宋体" w:eastAsia="宋体" w:cs="宋体"/>
                <w:i w:val="0"/>
                <w:iCs w:val="0"/>
                <w:color w:val="000000"/>
                <w:sz w:val="24"/>
                <w:szCs w:val="24"/>
                <w:u w:val="none"/>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出入口控制机（含显示设备、车牌识别摄像机、补光灯、语音对讲功能）</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通讯接口：TCP/IP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外壳防护等级：IPx4；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车牌识别率≥99%；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内置显示屏：可自定义显示内容；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内置摄像机规格：1/3英寸COMS传感器、彩色0.1Lux@F1.2最低照度、200万像素，可上下左右调节；内置补光灯规格：功率15W、高亮LED灯12颗、光敏控制（外置式）、5m处光照大于50LUX、可上下左右调节；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支持远程可视对讲功能；</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8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3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蓝卡，</w:t>
            </w:r>
            <w:r>
              <w:rPr>
                <w:rFonts w:hint="eastAsia" w:ascii="宋体" w:hAnsi="宋体" w:eastAsia="宋体" w:cs="宋体"/>
                <w:i w:val="0"/>
                <w:iCs w:val="0"/>
                <w:color w:val="000000"/>
                <w:kern w:val="0"/>
                <w:sz w:val="20"/>
                <w:szCs w:val="20"/>
                <w:u w:val="none"/>
                <w:lang w:val="en-US" w:eastAsia="zh-CN" w:bidi="ar"/>
              </w:rPr>
              <w:t>BCC</w:t>
            </w:r>
            <w:r>
              <w:rPr>
                <w:rFonts w:hint="eastAsia" w:ascii="宋体" w:hAnsi="宋体" w:eastAsia="宋体" w:cs="宋体"/>
                <w:i w:val="0"/>
                <w:iCs w:val="0"/>
                <w:color w:val="000000"/>
                <w:kern w:val="0"/>
                <w:sz w:val="22"/>
                <w:szCs w:val="22"/>
                <w:u w:val="none"/>
                <w:lang w:val="en-US" w:eastAsia="zh-CN" w:bidi="ar"/>
              </w:rPr>
              <w:t>-AI-GR2B/5C</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250">
            <w:pP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0C">
            <w:pPr>
              <w:jc w:val="center"/>
              <w:rPr>
                <w:rFonts w:hint="eastAsia" w:ascii="宋体" w:hAnsi="宋体" w:eastAsia="宋体" w:cs="宋体"/>
                <w:i w:val="0"/>
                <w:iCs w:val="0"/>
                <w:color w:val="000000"/>
                <w:sz w:val="24"/>
                <w:szCs w:val="24"/>
                <w:u w:val="none"/>
              </w:rPr>
            </w:pPr>
          </w:p>
        </w:tc>
        <w:tc>
          <w:tcPr>
            <w:tcW w:w="1455" w:type="dxa"/>
            <w:tcBorders>
              <w:top w:val="nil"/>
              <w:left w:val="single" w:color="000000" w:sz="4" w:space="0"/>
              <w:bottom w:val="single" w:color="000000" w:sz="4" w:space="0"/>
              <w:right w:val="single" w:color="000000" w:sz="4" w:space="0"/>
            </w:tcBorders>
            <w:shd w:val="clear" w:color="auto" w:fill="auto"/>
            <w:vAlign w:val="center"/>
          </w:tcPr>
          <w:p w14:paraId="7955306E">
            <w:pPr>
              <w:rPr>
                <w:rFonts w:hint="eastAsia" w:ascii="宋体" w:hAnsi="宋体" w:eastAsia="宋体" w:cs="宋体"/>
                <w:i w:val="0"/>
                <w:iCs w:val="0"/>
                <w:color w:val="000000"/>
                <w:sz w:val="24"/>
                <w:szCs w:val="24"/>
                <w:u w:val="none"/>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D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w:t>
            </w:r>
          </w:p>
        </w:tc>
        <w:tc>
          <w:tcPr>
            <w:tcW w:w="8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7ABE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7C0">
            <w:pPr>
              <w:jc w:val="center"/>
              <w:rPr>
                <w:rFonts w:hint="eastAsia" w:ascii="宋体" w:hAnsi="宋体" w:eastAsia="宋体" w:cs="宋体"/>
                <w:i w:val="0"/>
                <w:iCs w:val="0"/>
                <w:color w:val="000000"/>
                <w:sz w:val="24"/>
                <w:szCs w:val="24"/>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EC7">
            <w:pP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CA">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c>
          <w:tcPr>
            <w:tcW w:w="1455" w:type="dxa"/>
            <w:tcBorders>
              <w:top w:val="nil"/>
              <w:left w:val="single" w:color="000000" w:sz="4" w:space="0"/>
              <w:bottom w:val="single" w:color="000000" w:sz="4" w:space="0"/>
              <w:right w:val="single" w:color="000000" w:sz="4" w:space="0"/>
            </w:tcBorders>
            <w:shd w:val="clear" w:color="auto" w:fill="auto"/>
            <w:vAlign w:val="center"/>
          </w:tcPr>
          <w:p w14:paraId="66CFFBDF">
            <w:pPr>
              <w:rPr>
                <w:rFonts w:hint="eastAsia" w:ascii="宋体" w:hAnsi="宋体" w:eastAsia="宋体" w:cs="宋体"/>
                <w:i w:val="0"/>
                <w:iCs w:val="0"/>
                <w:color w:val="000000"/>
                <w:sz w:val="24"/>
                <w:szCs w:val="24"/>
                <w:u w:val="none"/>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2B1263">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bookmarkStart w:id="0" w:name="_GoBack"/>
            <w:bookmarkEnd w:id="0"/>
          </w:p>
        </w:tc>
      </w:tr>
      <w:tr w14:paraId="5ED5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DAC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42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D9A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E1E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19FEC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CEF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5F6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黑体" w:hAnsi="宋体" w:eastAsia="黑体" w:cs="黑体"/>
                <w:i w:val="0"/>
                <w:iCs w:val="0"/>
                <w:color w:val="FF0000"/>
                <w:kern w:val="0"/>
                <w:sz w:val="24"/>
                <w:szCs w:val="24"/>
                <w:u w:val="none"/>
                <w:lang w:val="en-US" w:eastAsia="zh-CN" w:bidi="ar"/>
              </w:rPr>
              <w:t>7天</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FC3C3">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税点</w:t>
            </w:r>
          </w:p>
        </w:tc>
        <w:tc>
          <w:tcPr>
            <w:tcW w:w="4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E8103">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FF0000"/>
                <w:kern w:val="0"/>
                <w:sz w:val="24"/>
                <w:szCs w:val="24"/>
                <w:u w:val="none"/>
                <w:lang w:val="en-US" w:eastAsia="zh-CN" w:bidi="ar"/>
              </w:rPr>
              <w:t>必填</w:t>
            </w:r>
          </w:p>
        </w:tc>
      </w:tr>
      <w:tr w14:paraId="3B46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1B8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7A4D">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FF0000"/>
                <w:kern w:val="0"/>
                <w:sz w:val="24"/>
                <w:szCs w:val="24"/>
                <w:u w:val="none"/>
                <w:lang w:val="en-US" w:eastAsia="zh-CN" w:bidi="ar"/>
              </w:rPr>
              <w:t>2年</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4741B">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付款方式</w:t>
            </w:r>
          </w:p>
        </w:tc>
        <w:tc>
          <w:tcPr>
            <w:tcW w:w="4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194763">
            <w:pPr>
              <w:jc w:val="left"/>
            </w:pPr>
            <w:r>
              <w:rPr>
                <w:rFonts w:hint="eastAsia" w:ascii="仿宋" w:hAnsi="仿宋" w:eastAsia="仿宋" w:cs="仿宋"/>
                <w:color w:val="auto"/>
                <w:sz w:val="24"/>
                <w:szCs w:val="24"/>
                <w:highlight w:val="none"/>
                <w:lang w:val="en-US" w:eastAsia="zh-CN"/>
              </w:rPr>
              <w:t>合同签订后个7日内支付50%预付款，货到验收合格后1个月内付清其余的货款。</w:t>
            </w:r>
          </w:p>
        </w:tc>
      </w:tr>
    </w:tbl>
    <w:p w14:paraId="3AE04165">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0FDA54DE"/>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1973F15"/>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DE748C9"/>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EC931A7"/>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4796</Words>
  <Characters>5112</Characters>
  <Lines>0</Lines>
  <Paragraphs>0</Paragraphs>
  <TotalTime>12</TotalTime>
  <ScaleCrop>false</ScaleCrop>
  <LinksUpToDate>false</LinksUpToDate>
  <CharactersWithSpaces>5812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2025-08-29T09:29:10Z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05CE2988CFBB4091AFE8A614FF382A24_13</vt:lpwstr>
  </property>
  <property fmtid="{D5CDD505-2E9C-101B-9397-08002B2CF9AE}" pid="4" name="KSOTemplateDocerSaveRecord">
    <vt:lpwstr>eyJoZGlkIjoiODQxOGI3YmU3NTI5MzUwZjkwOWVjODQ3NGEwZTRmNzciLCJ1c2VySWQiOiI2OTk3Mjg4NzkifQ==</vt:lpwstr>
  </property>
</Properties>
</file>