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交换机</w:t>
      </w:r>
      <w:r>
        <w:rPr>
          <w:rFonts w:hint="eastAsia" w:ascii="宋体" w:hAnsi="宋体" w:eastAsia="宋体" w:cs="宋体"/>
          <w:b/>
          <w:i w:val="0"/>
          <w:iCs w:val="0"/>
          <w:color w:val="000000"/>
          <w:kern w:val="0"/>
          <w:sz w:val="48"/>
          <w:szCs w:val="48"/>
          <w:u w:val="none"/>
          <w:lang w:val="en-US" w:eastAsia="zh-CN" w:bidi="ar"/>
        </w:rPr>
        <w:t>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08731768">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6F6C952D">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643CC7E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4DA341FB">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2.4、供应商代理证明或原厂授权（加盖公章）</w:t>
      </w:r>
    </w:p>
    <w:tbl>
      <w:tblPr>
        <w:tblStyle w:val="24"/>
        <w:tblW w:w="145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1895"/>
        <w:gridCol w:w="4870"/>
        <w:gridCol w:w="910"/>
        <w:gridCol w:w="930"/>
        <w:gridCol w:w="1594"/>
        <w:gridCol w:w="847"/>
        <w:gridCol w:w="985"/>
        <w:gridCol w:w="1404"/>
      </w:tblGrid>
      <w:tr w14:paraId="62D10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4515" w:type="dxa"/>
            <w:gridSpan w:val="9"/>
            <w:tcBorders>
              <w:top w:val="nil"/>
              <w:left w:val="nil"/>
              <w:bottom w:val="nil"/>
              <w:right w:val="nil"/>
            </w:tcBorders>
            <w:shd w:val="clear" w:color="auto" w:fill="auto"/>
            <w:vAlign w:val="center"/>
          </w:tcPr>
          <w:p w14:paraId="4A045A0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32"/>
                <w:szCs w:val="32"/>
                <w:u w:val="none"/>
              </w:rPr>
            </w:pPr>
            <w:r>
              <w:rPr>
                <w:rFonts w:hint="eastAsia" w:asciiTheme="majorEastAsia" w:hAnsiTheme="majorEastAsia" w:eastAsiaTheme="majorEastAsia" w:cstheme="majorEastAsia"/>
                <w:i w:val="0"/>
                <w:iCs w:val="0"/>
                <w:color w:val="000000"/>
                <w:kern w:val="0"/>
                <w:sz w:val="32"/>
                <w:szCs w:val="32"/>
                <w:u w:val="none"/>
                <w:lang w:val="en-US" w:eastAsia="zh-CN" w:bidi="ar"/>
              </w:rPr>
              <w:t>三、清单报价表</w:t>
            </w:r>
          </w:p>
        </w:tc>
      </w:tr>
      <w:tr w14:paraId="17901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E08E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询价单位</w:t>
            </w: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5404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江苏省淮安市保安服务有限公司</w:t>
            </w:r>
          </w:p>
        </w:tc>
        <w:tc>
          <w:tcPr>
            <w:tcW w:w="1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4B00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报价单位</w:t>
            </w:r>
          </w:p>
        </w:tc>
        <w:tc>
          <w:tcPr>
            <w:tcW w:w="4830" w:type="dxa"/>
            <w:gridSpan w:val="4"/>
            <w:tcBorders>
              <w:top w:val="single" w:color="000000" w:sz="4" w:space="0"/>
              <w:left w:val="nil"/>
              <w:bottom w:val="single" w:color="000000" w:sz="4" w:space="0"/>
              <w:right w:val="single" w:color="000000" w:sz="4" w:space="0"/>
            </w:tcBorders>
            <w:shd w:val="clear" w:color="auto" w:fill="auto"/>
            <w:noWrap/>
            <w:vAlign w:val="center"/>
          </w:tcPr>
          <w:p w14:paraId="1163082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FF0000"/>
                <w:sz w:val="22"/>
                <w:szCs w:val="22"/>
                <w:u w:val="none"/>
              </w:rPr>
            </w:pPr>
            <w:r>
              <w:rPr>
                <w:rFonts w:hint="eastAsia" w:asciiTheme="majorEastAsia" w:hAnsiTheme="majorEastAsia" w:eastAsiaTheme="majorEastAsia" w:cstheme="majorEastAsia"/>
                <w:i w:val="0"/>
                <w:iCs w:val="0"/>
                <w:color w:val="FF0000"/>
                <w:kern w:val="0"/>
                <w:sz w:val="22"/>
                <w:szCs w:val="22"/>
                <w:u w:val="none"/>
                <w:lang w:val="en-US" w:eastAsia="zh-CN" w:bidi="ar"/>
              </w:rPr>
              <w:t>必填（盖章）</w:t>
            </w:r>
          </w:p>
        </w:tc>
      </w:tr>
      <w:tr w14:paraId="6F216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4DED2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联系人</w:t>
            </w: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6BF5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1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BC188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法定代表人或授权委托人</w:t>
            </w:r>
          </w:p>
        </w:tc>
        <w:tc>
          <w:tcPr>
            <w:tcW w:w="4830" w:type="dxa"/>
            <w:gridSpan w:val="4"/>
            <w:tcBorders>
              <w:top w:val="single" w:color="000000" w:sz="4" w:space="0"/>
              <w:left w:val="nil"/>
              <w:bottom w:val="single" w:color="000000" w:sz="4" w:space="0"/>
              <w:right w:val="single" w:color="000000" w:sz="4" w:space="0"/>
            </w:tcBorders>
            <w:shd w:val="clear" w:color="auto" w:fill="auto"/>
            <w:noWrap/>
            <w:vAlign w:val="center"/>
          </w:tcPr>
          <w:p w14:paraId="45F23E9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FF0000"/>
                <w:sz w:val="22"/>
                <w:szCs w:val="22"/>
                <w:u w:val="none"/>
              </w:rPr>
            </w:pPr>
            <w:r>
              <w:rPr>
                <w:rFonts w:hint="eastAsia" w:asciiTheme="majorEastAsia" w:hAnsiTheme="majorEastAsia" w:eastAsiaTheme="majorEastAsia" w:cstheme="majorEastAsia"/>
                <w:i w:val="0"/>
                <w:iCs w:val="0"/>
                <w:color w:val="FF0000"/>
                <w:kern w:val="0"/>
                <w:sz w:val="22"/>
                <w:szCs w:val="22"/>
                <w:u w:val="none"/>
                <w:lang w:val="en-US" w:eastAsia="zh-CN" w:bidi="ar"/>
              </w:rPr>
              <w:t>必填</w:t>
            </w:r>
          </w:p>
        </w:tc>
      </w:tr>
      <w:tr w14:paraId="188F5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3E1F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电话</w:t>
            </w: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3CB9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1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3288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电话</w:t>
            </w:r>
          </w:p>
        </w:tc>
        <w:tc>
          <w:tcPr>
            <w:tcW w:w="4830" w:type="dxa"/>
            <w:gridSpan w:val="4"/>
            <w:tcBorders>
              <w:top w:val="single" w:color="000000" w:sz="4" w:space="0"/>
              <w:left w:val="nil"/>
              <w:bottom w:val="single" w:color="000000" w:sz="4" w:space="0"/>
              <w:right w:val="single" w:color="000000" w:sz="4" w:space="0"/>
            </w:tcBorders>
            <w:shd w:val="clear" w:color="auto" w:fill="auto"/>
            <w:noWrap/>
            <w:vAlign w:val="center"/>
          </w:tcPr>
          <w:p w14:paraId="4BA97E1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FF0000"/>
                <w:sz w:val="22"/>
                <w:szCs w:val="22"/>
                <w:u w:val="none"/>
              </w:rPr>
            </w:pPr>
            <w:r>
              <w:rPr>
                <w:rFonts w:hint="eastAsia" w:asciiTheme="majorEastAsia" w:hAnsiTheme="majorEastAsia" w:eastAsiaTheme="majorEastAsia" w:cstheme="majorEastAsia"/>
                <w:i w:val="0"/>
                <w:iCs w:val="0"/>
                <w:color w:val="FF0000"/>
                <w:kern w:val="0"/>
                <w:sz w:val="22"/>
                <w:szCs w:val="22"/>
                <w:u w:val="none"/>
                <w:lang w:val="en-US" w:eastAsia="zh-CN" w:bidi="ar"/>
              </w:rPr>
              <w:t>必填</w:t>
            </w:r>
          </w:p>
        </w:tc>
      </w:tr>
      <w:tr w14:paraId="66527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27580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邮箱</w:t>
            </w: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7AC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single"/>
              </w:rPr>
            </w:pPr>
            <w:r>
              <w:rPr>
                <w:rFonts w:hint="eastAsia" w:asciiTheme="majorEastAsia" w:hAnsiTheme="majorEastAsia" w:eastAsiaTheme="majorEastAsia" w:cstheme="majorEastAsia"/>
                <w:i w:val="0"/>
                <w:iCs w:val="0"/>
                <w:color w:val="000000"/>
                <w:kern w:val="0"/>
                <w:sz w:val="24"/>
                <w:szCs w:val="24"/>
                <w:u w:val="single"/>
                <w:lang w:val="en-US" w:eastAsia="zh-CN" w:bidi="ar"/>
              </w:rPr>
              <w:t>HABAccb@163.com</w:t>
            </w:r>
          </w:p>
        </w:tc>
        <w:tc>
          <w:tcPr>
            <w:tcW w:w="1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3F33C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邮箱</w:t>
            </w:r>
          </w:p>
        </w:tc>
        <w:tc>
          <w:tcPr>
            <w:tcW w:w="4830" w:type="dxa"/>
            <w:gridSpan w:val="4"/>
            <w:tcBorders>
              <w:top w:val="single" w:color="000000" w:sz="4" w:space="0"/>
              <w:left w:val="nil"/>
              <w:bottom w:val="single" w:color="000000" w:sz="4" w:space="0"/>
              <w:right w:val="single" w:color="000000" w:sz="4" w:space="0"/>
            </w:tcBorders>
            <w:shd w:val="clear" w:color="auto" w:fill="auto"/>
            <w:noWrap/>
            <w:vAlign w:val="center"/>
          </w:tcPr>
          <w:p w14:paraId="183B7AC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FF0000"/>
                <w:sz w:val="22"/>
                <w:szCs w:val="22"/>
                <w:u w:val="none"/>
              </w:rPr>
            </w:pPr>
            <w:r>
              <w:rPr>
                <w:rFonts w:hint="eastAsia" w:asciiTheme="majorEastAsia" w:hAnsiTheme="majorEastAsia" w:eastAsiaTheme="majorEastAsia" w:cstheme="majorEastAsia"/>
                <w:i w:val="0"/>
                <w:iCs w:val="0"/>
                <w:color w:val="FF0000"/>
                <w:kern w:val="0"/>
                <w:sz w:val="22"/>
                <w:szCs w:val="22"/>
                <w:u w:val="none"/>
                <w:lang w:val="en-US" w:eastAsia="zh-CN" w:bidi="ar"/>
              </w:rPr>
              <w:t>必填</w:t>
            </w:r>
          </w:p>
        </w:tc>
      </w:tr>
      <w:tr w14:paraId="4C33B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A4496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76C7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1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B678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报价日期</w:t>
            </w:r>
          </w:p>
        </w:tc>
        <w:tc>
          <w:tcPr>
            <w:tcW w:w="4830" w:type="dxa"/>
            <w:gridSpan w:val="4"/>
            <w:tcBorders>
              <w:top w:val="single" w:color="000000" w:sz="4" w:space="0"/>
              <w:left w:val="nil"/>
              <w:bottom w:val="single" w:color="000000" w:sz="4" w:space="0"/>
              <w:right w:val="single" w:color="000000" w:sz="4" w:space="0"/>
            </w:tcBorders>
            <w:shd w:val="clear" w:color="auto" w:fill="auto"/>
            <w:noWrap/>
            <w:vAlign w:val="center"/>
          </w:tcPr>
          <w:p w14:paraId="467F61A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FF0000"/>
                <w:sz w:val="22"/>
                <w:szCs w:val="22"/>
                <w:u w:val="none"/>
              </w:rPr>
            </w:pPr>
            <w:r>
              <w:rPr>
                <w:rFonts w:hint="eastAsia" w:asciiTheme="majorEastAsia" w:hAnsiTheme="majorEastAsia" w:eastAsiaTheme="majorEastAsia" w:cstheme="majorEastAsia"/>
                <w:i w:val="0"/>
                <w:iCs w:val="0"/>
                <w:color w:val="FF0000"/>
                <w:kern w:val="0"/>
                <w:sz w:val="22"/>
                <w:szCs w:val="22"/>
                <w:u w:val="none"/>
                <w:lang w:val="en-US" w:eastAsia="zh-CN" w:bidi="ar"/>
              </w:rPr>
              <w:t>必填</w:t>
            </w:r>
          </w:p>
        </w:tc>
      </w:tr>
      <w:tr w14:paraId="2211F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2F01E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序号</w:t>
            </w:r>
          </w:p>
        </w:tc>
        <w:tc>
          <w:tcPr>
            <w:tcW w:w="18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437E9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项目名称</w:t>
            </w:r>
          </w:p>
        </w:tc>
        <w:tc>
          <w:tcPr>
            <w:tcW w:w="4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0906E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技术参数</w:t>
            </w:r>
          </w:p>
        </w:tc>
        <w:tc>
          <w:tcPr>
            <w:tcW w:w="9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34C62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单位</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7A231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数量</w:t>
            </w:r>
          </w:p>
        </w:tc>
        <w:tc>
          <w:tcPr>
            <w:tcW w:w="15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494A1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推荐品牌</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F8B87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金额（元）</w:t>
            </w:r>
          </w:p>
        </w:tc>
        <w:tc>
          <w:tcPr>
            <w:tcW w:w="14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ABD46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备注所投品牌型号</w:t>
            </w:r>
          </w:p>
        </w:tc>
      </w:tr>
      <w:tr w14:paraId="55FA7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E19D9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18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D2D4C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4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3BDA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9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1D905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A0BC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15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600BA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D988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单价</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93D8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合价</w:t>
            </w:r>
          </w:p>
        </w:tc>
        <w:tc>
          <w:tcPr>
            <w:tcW w:w="1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9FCC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Theme="majorEastAsia" w:hAnsiTheme="majorEastAsia" w:eastAsiaTheme="majorEastAsia" w:cstheme="majorEastAsia"/>
                <w:i w:val="0"/>
                <w:iCs w:val="0"/>
                <w:color w:val="000000"/>
                <w:sz w:val="24"/>
                <w:szCs w:val="24"/>
                <w:u w:val="none"/>
              </w:rPr>
            </w:pPr>
          </w:p>
        </w:tc>
      </w:tr>
      <w:tr w14:paraId="7A97F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DD1D">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1</w:t>
            </w:r>
          </w:p>
        </w:tc>
        <w:tc>
          <w:tcPr>
            <w:tcW w:w="1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F734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方向汇聚千兆工业交换机</w:t>
            </w: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245D">
            <w:pPr>
              <w:keepNext w:val="0"/>
              <w:keepLines w:val="0"/>
              <w:pageBreakBefore w:val="0"/>
              <w:widowControl/>
              <w:numPr>
                <w:ilvl w:val="0"/>
                <w:numId w:val="3"/>
              </w:numPr>
              <w:suppressLineNumbers w:val="0"/>
              <w:kinsoku/>
              <w:wordWrap/>
              <w:overflowPunct/>
              <w:topLinePunct w:val="0"/>
              <w:autoSpaceDE/>
              <w:autoSpaceDN/>
              <w:bidi w:val="0"/>
              <w:adjustRightInd/>
              <w:snapToGrid/>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名称：方向汇聚千兆工业交换机。</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2、参数：(1)基本性能:交换容量&gt;128Gbps，转发性能&gt;14Mpps，包缓存&gt;2Mbit;8个千兆电口，10/100/1000 Base-T(X)自适应以太网 RJ45 接口:2个千兆光口，1000Base-Fx,单/多模，SFP 接口，光接口支持多模双纤、单模双纤、单模单纤三种光纤传输模式，含传输光模块：</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(2)IP40 防护等级；</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(3)工业级要求:EMC工业四级:具备了耐高/低温、防尘、抗震、抗电磁干扰等性能；</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(4)配置要求:内置双电源；</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(5)工作温度:-40℃~+70℃；</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(6)工作湿度:5-95%(无凝露)；</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(7)散热方式:无风扇自然散热，耐高/低温、防尘特性。</w:t>
            </w:r>
          </w:p>
          <w:p w14:paraId="7023322A">
            <w:pPr>
              <w:keepNext w:val="0"/>
              <w:keepLines w:val="0"/>
              <w:pageBreakBefore w:val="0"/>
              <w:widowControl/>
              <w:numPr>
                <w:numId w:val="0"/>
              </w:numPr>
              <w:suppressLineNumbers w:val="0"/>
              <w:kinsoku/>
              <w:wordWrap/>
              <w:overflowPunct/>
              <w:topLinePunct w:val="0"/>
              <w:autoSpaceDE/>
              <w:autoSpaceDN/>
              <w:bidi w:val="0"/>
              <w:adjustRightInd/>
              <w:snapToGrid/>
              <w:ind w:left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3、含2个sc接口3公里的单模光模块，含交换机工业级供电电源</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43CB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台(套)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DD93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70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CF62C">
            <w:pPr>
              <w:keepNext w:val="0"/>
              <w:keepLines w:val="0"/>
              <w:pageBreakBefore w:val="0"/>
              <w:kinsoku/>
              <w:wordWrap/>
              <w:overflowPunct/>
              <w:topLinePunct w:val="0"/>
              <w:autoSpaceDE/>
              <w:autoSpaceDN/>
              <w:bidi w:val="0"/>
              <w:adjustRightInd/>
              <w:snapToGrid/>
              <w:ind w:firstLine="0" w:firstLineChars="0"/>
              <w:jc w:val="center"/>
              <w:rPr>
                <w:rFonts w:hint="default"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000000"/>
                <w:sz w:val="24"/>
                <w:szCs w:val="24"/>
                <w:u w:val="none"/>
                <w:lang w:val="en-US" w:eastAsia="zh-CN"/>
              </w:rPr>
              <w:t>华为、华三、兆越、艾利万、大华、恒信和安</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29A5F">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F8A5A">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1404" w:type="dxa"/>
            <w:tcBorders>
              <w:top w:val="nil"/>
              <w:left w:val="single" w:color="000000" w:sz="4" w:space="0"/>
              <w:bottom w:val="single" w:color="000000" w:sz="4" w:space="0"/>
              <w:right w:val="single" w:color="000000" w:sz="4" w:space="0"/>
            </w:tcBorders>
            <w:shd w:val="clear" w:color="auto" w:fill="auto"/>
            <w:vAlign w:val="center"/>
          </w:tcPr>
          <w:p w14:paraId="3897991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p>
        </w:tc>
      </w:tr>
      <w:tr w14:paraId="07F11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7"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D62C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2</w:t>
            </w:r>
          </w:p>
        </w:tc>
        <w:tc>
          <w:tcPr>
            <w:tcW w:w="1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B846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路口汇聚千兆工业交换机</w:t>
            </w: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BAAB2">
            <w:pPr>
              <w:keepNext w:val="0"/>
              <w:keepLines w:val="0"/>
              <w:pageBreakBefore w:val="0"/>
              <w:widowControl/>
              <w:numPr>
                <w:ilvl w:val="0"/>
                <w:numId w:val="4"/>
              </w:numPr>
              <w:suppressLineNumbers w:val="0"/>
              <w:kinsoku/>
              <w:wordWrap/>
              <w:overflowPunct/>
              <w:topLinePunct w:val="0"/>
              <w:autoSpaceDE/>
              <w:autoSpaceDN/>
              <w:bidi w:val="0"/>
              <w:adjustRightInd/>
              <w:snapToGrid/>
              <w:ind w:left="0" w:leftChars="0" w:firstLine="0" w:firstLine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名称：路口汇聚千兆工业交换机。</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2、参数：(1)基本性能:交换容量&gt;128Gbps，转发性能&gt;14Mpps，包缓存&gt;2Mbit;8个千兆光口，1000Base-FX,单/多模，SFP接口:8个千兆电口，10/100/1000 Base-T(X)自适应以太网 RJ45 接口:光接口支持多模双纤、单模双纤、单模单纤三种光纤传输模式，含传输光模块；</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(2)工作温度:-40℃~+70℃:工作湿度:5-95%(无凝露):防护等级:IP40:(3)散热方式:无风扇自然散热，耐高/低温、防尘特性；</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(4)工业级要求:EMC工业四级:具备了耐高/低温、防尘、抗震、抗电磁干扰等性能；</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(5)服务质量:提供 Qos功能，实现基于业务种类区分服务模式、进行优先级映射、流量监管(CAR)、流量整形，拥塞避免、拥塞管理；</w:t>
            </w:r>
            <w:r>
              <w:rPr>
                <w:rFonts w:hint="eastAsia" w:asciiTheme="majorEastAsia" w:hAnsiTheme="majorEastAsia" w:eastAsiaTheme="majorEastAsia" w:cstheme="majorEastAsia"/>
                <w:i w:val="0"/>
                <w:iCs w:val="0"/>
                <w:color w:val="000000"/>
                <w:kern w:val="0"/>
                <w:sz w:val="24"/>
                <w:szCs w:val="24"/>
                <w:u w:val="none"/>
                <w:lang w:val="en-US" w:eastAsia="zh-CN" w:bidi="ar"/>
              </w:rPr>
              <w:br w:type="textWrapping"/>
            </w:r>
            <w:r>
              <w:rPr>
                <w:rFonts w:hint="eastAsia" w:asciiTheme="majorEastAsia" w:hAnsiTheme="majorEastAsia" w:eastAsiaTheme="majorEastAsia" w:cstheme="majorEastAsia"/>
                <w:i w:val="0"/>
                <w:iCs w:val="0"/>
                <w:color w:val="000000"/>
                <w:kern w:val="0"/>
                <w:sz w:val="24"/>
                <w:szCs w:val="24"/>
                <w:u w:val="none"/>
                <w:lang w:val="en-US" w:eastAsia="zh-CN" w:bidi="ar"/>
              </w:rPr>
              <w:t>(6)管理维护:命令行配置、Web网管、SNMP(v1/v2c/v3):(7)配置要求:内置双电源。</w:t>
            </w:r>
          </w:p>
          <w:p w14:paraId="69FF3F64">
            <w:pPr>
              <w:keepNext w:val="0"/>
              <w:keepLines w:val="0"/>
              <w:pageBreakBefore w:val="0"/>
              <w:widowControl/>
              <w:numPr>
                <w:numId w:val="0"/>
              </w:numPr>
              <w:suppressLineNumbers w:val="0"/>
              <w:kinsoku/>
              <w:wordWrap/>
              <w:overflowPunct/>
              <w:topLinePunct w:val="0"/>
              <w:autoSpaceDE/>
              <w:autoSpaceDN/>
              <w:bidi w:val="0"/>
              <w:adjustRightInd/>
              <w:snapToGrid/>
              <w:ind w:leftChars="0"/>
              <w:jc w:val="left"/>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3、</w:t>
            </w:r>
            <w:bookmarkStart w:id="0" w:name="_GoBack"/>
            <w:bookmarkEnd w:id="0"/>
            <w:r>
              <w:rPr>
                <w:rFonts w:hint="eastAsia" w:asciiTheme="majorEastAsia" w:hAnsiTheme="majorEastAsia" w:eastAsiaTheme="majorEastAsia" w:cstheme="majorEastAsia"/>
                <w:i w:val="0"/>
                <w:iCs w:val="0"/>
                <w:color w:val="000000"/>
                <w:kern w:val="0"/>
                <w:sz w:val="24"/>
                <w:szCs w:val="24"/>
                <w:u w:val="none"/>
                <w:lang w:val="en-US" w:eastAsia="zh-CN" w:bidi="ar"/>
              </w:rPr>
              <w:t>含7个sc接口3公里的单模光模块，一对lc接口单纤单模光模块,≧40km，与现有交警后台核心交换机兼容，含交换机的工业级供电电源</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1FDF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台(套)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8EDE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30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55B8">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sz w:val="24"/>
                <w:szCs w:val="24"/>
                <w:u w:val="none"/>
                <w:lang w:val="en-US" w:eastAsia="zh-CN"/>
              </w:rPr>
              <w:t>华为、华三、兆越、艾利万、大华、恒信和安</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E5DE">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87CFD">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1404" w:type="dxa"/>
            <w:tcBorders>
              <w:top w:val="nil"/>
              <w:left w:val="single" w:color="000000" w:sz="4" w:space="0"/>
              <w:bottom w:val="single" w:color="000000" w:sz="4" w:space="0"/>
              <w:right w:val="single" w:color="000000" w:sz="4" w:space="0"/>
            </w:tcBorders>
            <w:shd w:val="clear" w:color="auto" w:fill="auto"/>
            <w:vAlign w:val="center"/>
          </w:tcPr>
          <w:p w14:paraId="6DA93A2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p>
        </w:tc>
      </w:tr>
      <w:tr w14:paraId="73B36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9A6B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000000"/>
                <w:sz w:val="24"/>
                <w:szCs w:val="24"/>
                <w:u w:val="none"/>
                <w:lang w:val="en-US" w:eastAsia="zh-CN"/>
              </w:rPr>
              <w:t>3</w:t>
            </w:r>
          </w:p>
        </w:tc>
        <w:tc>
          <w:tcPr>
            <w:tcW w:w="8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B0C89C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合计：</w:t>
            </w:r>
            <w:r>
              <w:rPr>
                <w:rFonts w:hint="eastAsia" w:asciiTheme="majorEastAsia" w:hAnsiTheme="majorEastAsia" w:eastAsiaTheme="majorEastAsia" w:cstheme="majorEastAsia"/>
                <w:i w:val="0"/>
                <w:iCs w:val="0"/>
                <w:color w:val="000000"/>
                <w:kern w:val="0"/>
                <w:sz w:val="24"/>
                <w:szCs w:val="24"/>
                <w:u w:val="single"/>
                <w:lang w:val="en-US" w:eastAsia="zh-CN" w:bidi="ar"/>
              </w:rPr>
              <w:t xml:space="preserve">           元</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58DB9">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021F3">
            <w:pPr>
              <w:keepNext w:val="0"/>
              <w:keepLines w:val="0"/>
              <w:pageBreakBefore w:val="0"/>
              <w:kinsoku/>
              <w:wordWrap/>
              <w:overflowPunct/>
              <w:topLinePunct w:val="0"/>
              <w:autoSpaceDE/>
              <w:autoSpaceDN/>
              <w:bidi w:val="0"/>
              <w:adjustRightInd/>
              <w:snapToGrid/>
              <w:ind w:firstLine="0" w:firstLineChars="0"/>
              <w:rPr>
                <w:rFonts w:hint="eastAsia" w:asciiTheme="majorEastAsia" w:hAnsiTheme="majorEastAsia" w:eastAsiaTheme="majorEastAsia" w:cstheme="majorEastAsia"/>
                <w:i w:val="0"/>
                <w:iCs w:val="0"/>
                <w:color w:val="000000"/>
                <w:sz w:val="24"/>
                <w:szCs w:val="24"/>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9A533">
            <w:pPr>
              <w:keepNext w:val="0"/>
              <w:keepLines w:val="0"/>
              <w:pageBreakBefore w:val="0"/>
              <w:kinsoku/>
              <w:wordWrap/>
              <w:overflowPunct/>
              <w:topLinePunct w:val="0"/>
              <w:autoSpaceDE/>
              <w:autoSpaceDN/>
              <w:bidi w:val="0"/>
              <w:adjustRightInd/>
              <w:snapToGrid/>
              <w:ind w:firstLine="0" w:firstLineChars="0"/>
              <w:rPr>
                <w:rFonts w:hint="eastAsia" w:asciiTheme="majorEastAsia" w:hAnsiTheme="majorEastAsia" w:eastAsiaTheme="majorEastAsia" w:cstheme="majorEastAsia"/>
                <w:i w:val="0"/>
                <w:iCs w:val="0"/>
                <w:color w:val="000000"/>
                <w:sz w:val="24"/>
                <w:szCs w:val="24"/>
                <w:u w:val="none"/>
              </w:rPr>
            </w:pPr>
          </w:p>
        </w:tc>
        <w:tc>
          <w:tcPr>
            <w:tcW w:w="1404" w:type="dxa"/>
            <w:tcBorders>
              <w:top w:val="nil"/>
              <w:left w:val="single" w:color="000000" w:sz="4" w:space="0"/>
              <w:bottom w:val="single" w:color="000000" w:sz="4" w:space="0"/>
              <w:right w:val="single" w:color="000000" w:sz="4" w:space="0"/>
            </w:tcBorders>
            <w:shd w:val="clear" w:color="auto" w:fill="auto"/>
            <w:vAlign w:val="center"/>
          </w:tcPr>
          <w:p w14:paraId="16C646BD">
            <w:pPr>
              <w:keepNext w:val="0"/>
              <w:keepLines w:val="0"/>
              <w:pageBreakBefore w:val="0"/>
              <w:kinsoku/>
              <w:wordWrap/>
              <w:overflowPunct/>
              <w:topLinePunct w:val="0"/>
              <w:autoSpaceDE/>
              <w:autoSpaceDN/>
              <w:bidi w:val="0"/>
              <w:adjustRightInd/>
              <w:snapToGrid/>
              <w:ind w:firstLine="0" w:firstLineChars="0"/>
              <w:rPr>
                <w:rFonts w:hint="eastAsia" w:asciiTheme="majorEastAsia" w:hAnsiTheme="majorEastAsia" w:eastAsiaTheme="majorEastAsia" w:cstheme="majorEastAsia"/>
                <w:i w:val="0"/>
                <w:iCs w:val="0"/>
                <w:color w:val="000000"/>
                <w:sz w:val="24"/>
                <w:szCs w:val="24"/>
                <w:u w:val="none"/>
              </w:rPr>
            </w:pPr>
          </w:p>
        </w:tc>
      </w:tr>
      <w:tr w14:paraId="2C184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4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CF7F5E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以上报价含增值税专用发票、运费以及相关服务费用。</w:t>
            </w:r>
          </w:p>
        </w:tc>
      </w:tr>
      <w:tr w14:paraId="3DF5A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408D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是否接受保证金（控制价的2%）</w:t>
            </w: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5D96D">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FF0000"/>
                <w:kern w:val="0"/>
                <w:sz w:val="24"/>
                <w:szCs w:val="24"/>
                <w:u w:val="none"/>
                <w:lang w:val="en-US" w:eastAsia="zh-CN" w:bidi="ar"/>
              </w:rPr>
              <w:t>填“是/否”</w:t>
            </w:r>
          </w:p>
        </w:tc>
        <w:tc>
          <w:tcPr>
            <w:tcW w:w="1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D0CB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履约保证金（成交金额的10%）</w:t>
            </w:r>
          </w:p>
        </w:tc>
        <w:tc>
          <w:tcPr>
            <w:tcW w:w="48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FADD27">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FF0000"/>
                <w:kern w:val="0"/>
                <w:sz w:val="24"/>
                <w:szCs w:val="24"/>
                <w:u w:val="none"/>
                <w:lang w:val="en-US" w:eastAsia="zh-CN" w:bidi="ar"/>
              </w:rPr>
              <w:t>填“是/否”</w:t>
            </w:r>
          </w:p>
        </w:tc>
      </w:tr>
      <w:tr w14:paraId="2E8A3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EE39AF">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 xml:space="preserve">供货期            </w:t>
            </w: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946B">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FF0000"/>
                <w:kern w:val="0"/>
                <w:sz w:val="24"/>
                <w:szCs w:val="24"/>
                <w:u w:val="none"/>
                <w:lang w:val="en-US" w:eastAsia="zh-CN" w:bidi="ar"/>
              </w:rPr>
              <w:t>15天</w:t>
            </w:r>
          </w:p>
        </w:tc>
        <w:tc>
          <w:tcPr>
            <w:tcW w:w="1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8FF31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税点</w:t>
            </w:r>
          </w:p>
        </w:tc>
        <w:tc>
          <w:tcPr>
            <w:tcW w:w="48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8CD6C9E">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FF0000"/>
                <w:kern w:val="0"/>
                <w:sz w:val="24"/>
                <w:szCs w:val="24"/>
                <w:u w:val="none"/>
                <w:lang w:val="en-US" w:eastAsia="zh-CN" w:bidi="ar"/>
              </w:rPr>
              <w:t>必填</w:t>
            </w:r>
          </w:p>
        </w:tc>
      </w:tr>
      <w:tr w14:paraId="22A62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3CBCE6">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 xml:space="preserve">质保期            </w:t>
            </w:r>
          </w:p>
        </w:tc>
        <w:tc>
          <w:tcPr>
            <w:tcW w:w="4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E6173">
            <w:pPr>
              <w:keepNext w:val="0"/>
              <w:keepLines w:val="0"/>
              <w:pageBreakBefore w:val="0"/>
              <w:kinsoku/>
              <w:wordWrap/>
              <w:overflowPunct/>
              <w:topLinePunct w:val="0"/>
              <w:autoSpaceDE/>
              <w:autoSpaceDN/>
              <w:bidi w:val="0"/>
              <w:adjustRightInd/>
              <w:snapToGrid/>
              <w:ind w:firstLine="0" w:firstLineChars="0"/>
              <w:jc w:val="center"/>
              <w:rPr>
                <w:rFonts w:hint="eastAsia"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FF0000"/>
                <w:kern w:val="0"/>
                <w:sz w:val="24"/>
                <w:szCs w:val="24"/>
                <w:u w:val="none"/>
                <w:lang w:val="en-US" w:eastAsia="zh-CN" w:bidi="ar"/>
              </w:rPr>
              <w:t>3年</w:t>
            </w:r>
          </w:p>
        </w:tc>
        <w:tc>
          <w:tcPr>
            <w:tcW w:w="1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7B96F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付款方式</w:t>
            </w:r>
          </w:p>
        </w:tc>
        <w:tc>
          <w:tcPr>
            <w:tcW w:w="48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55306E">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FF0000"/>
                <w:kern w:val="0"/>
                <w:sz w:val="24"/>
                <w:szCs w:val="24"/>
                <w:u w:val="none"/>
                <w:lang w:val="en-US" w:eastAsia="zh-CN" w:bidi="ar"/>
              </w:rPr>
              <w:t>合同签订后个7日内支付30%预付款，货到验收合格后3个月内付清其余的货款</w:t>
            </w:r>
          </w:p>
        </w:tc>
      </w:tr>
    </w:tbl>
    <w:p w14:paraId="71123A3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1、付款条件:合同签订后个7日内支付30%预付款，货到验收合格后3个月内付清其余的货款。注：付款时供应商须提供正规发票（因发票问题而导致无法正常付款的，责任由供应商自己承担）。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575466"/>
    <w:multiLevelType w:val="singleLevel"/>
    <w:tmpl w:val="81575466"/>
    <w:lvl w:ilvl="0" w:tentative="0">
      <w:start w:val="1"/>
      <w:numFmt w:val="decimal"/>
      <w:suff w:val="nothing"/>
      <w:lvlText w:val="%1、"/>
      <w:lvlJc w:val="left"/>
    </w:lvl>
  </w:abstractNum>
  <w:abstractNum w:abstractNumId="1">
    <w:nsid w:val="F21A74F4"/>
    <w:multiLevelType w:val="singleLevel"/>
    <w:tmpl w:val="F21A74F4"/>
    <w:lvl w:ilvl="0" w:tentative="0">
      <w:start w:val="1"/>
      <w:numFmt w:val="decimal"/>
      <w:suff w:val="nothing"/>
      <w:lvlText w:val="%1、"/>
      <w:lvlJc w:val="left"/>
    </w:lvl>
  </w:abstractNum>
  <w:abstractNum w:abstractNumId="2">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3">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06690F"/>
    <w:rsid w:val="115C3F6A"/>
    <w:rsid w:val="11F315DF"/>
    <w:rsid w:val="133B07D3"/>
    <w:rsid w:val="138B678C"/>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0262A3"/>
    <w:rsid w:val="40130CAF"/>
    <w:rsid w:val="40490B34"/>
    <w:rsid w:val="420E65EA"/>
    <w:rsid w:val="421050D4"/>
    <w:rsid w:val="424F19E7"/>
    <w:rsid w:val="42A9416B"/>
    <w:rsid w:val="42BF1B92"/>
    <w:rsid w:val="43356EC2"/>
    <w:rsid w:val="435E2995"/>
    <w:rsid w:val="43966372"/>
    <w:rsid w:val="44EF43A5"/>
    <w:rsid w:val="45C36283"/>
    <w:rsid w:val="462D4ABF"/>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44602E"/>
    <w:rsid w:val="706B3AE0"/>
    <w:rsid w:val="70A15D8A"/>
    <w:rsid w:val="71270FB3"/>
    <w:rsid w:val="71E07B02"/>
    <w:rsid w:val="71F66174"/>
    <w:rsid w:val="72C34258"/>
    <w:rsid w:val="73CE218C"/>
    <w:rsid w:val="74AA472D"/>
    <w:rsid w:val="768165E1"/>
    <w:rsid w:val="78884DD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4474</Words>
  <Characters>4765</Characters>
  <Lines>0</Lines>
  <Paragraphs>0</Paragraphs>
  <TotalTime>1</TotalTime>
  <ScaleCrop>false</ScaleCrop>
  <LinksUpToDate>false</LinksUpToDate>
  <CharactersWithSpaces>5445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2025-08-29T09:34:01Z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695FEA9A228A437EA450EF557FBAEF9D_13</vt:lpwstr>
  </property>
  <property fmtid="{D5CDD505-2E9C-101B-9397-08002B2CF9AE}" pid="4" name="KSOTemplateDocerSaveRecord">
    <vt:lpwstr>eyJoZGlkIjoiODQxOGI3YmU3NTI5MzUwZjkwOWVjODQ3NGEwZTRmNzciLCJ1c2VySWQiOiI2OTk3Mjg4NzkifQ==</vt:lpwstr>
  </property>
</Properties>
</file>