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机房设备运维服务采购询价文件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2.4、原厂代理商证明</w:t>
      </w:r>
    </w:p>
    <w:p>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2.5、原厂一年质保函</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386"/>
        <w:gridCol w:w="462"/>
        <w:gridCol w:w="4401"/>
        <w:gridCol w:w="1684"/>
        <w:gridCol w:w="1032"/>
        <w:gridCol w:w="145"/>
        <w:gridCol w:w="1606"/>
        <w:gridCol w:w="1286"/>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机房设施设备运维</w:t>
            </w:r>
          </w:p>
        </w:tc>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华为微模块系统3套：包括但不限于模块中的强电列头柜、服务器机柜、顶部的钢化玻璃天窗、冷通道内照明系统、动环系统及智能监控系统等的常规运维。</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空调及新风运维</w:t>
            </w:r>
          </w:p>
        </w:tc>
        <w:tc>
          <w:tcPr>
            <w:tcW w:w="4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华为精密空调6组：每季度更换1次内机滤网、清洗不少于1次外机，每半年更换1次湿膜。</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1年</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服务期限</w:t>
            </w:r>
            <w:r>
              <w:rPr>
                <w:rFonts w:hint="eastAsia" w:ascii="宋体" w:hAnsi="宋体" w:eastAsia="宋体" w:cs="宋体"/>
                <w:i w:val="0"/>
                <w:iCs w:val="0"/>
                <w:color w:val="000000"/>
                <w:kern w:val="0"/>
                <w:sz w:val="24"/>
                <w:szCs w:val="24"/>
                <w:u w:val="none"/>
                <w:lang w:val="en-US" w:eastAsia="zh-CN" w:bidi="ar"/>
              </w:rPr>
              <w:t xml:space="preserve">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sz w:val="24"/>
                <w:szCs w:val="24"/>
                <w:u w:val="none"/>
                <w:lang w:val="en-US" w:eastAsia="zh-CN"/>
              </w:rPr>
              <w:t>1年</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合同签订后预付合同金额的80%，运维服务期满后15日内付清尾款。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rPr>
          <w:rFonts w:hint="eastAsia" w:ascii="仿宋" w:hAnsi="仿宋" w:eastAsia="仿宋" w:cs="仿宋"/>
          <w:sz w:val="24"/>
          <w:szCs w:val="24"/>
        </w:rPr>
      </w:pPr>
    </w:p>
    <w:p>
      <w:pPr>
        <w:keepNext w:val="0"/>
        <w:keepLines w:val="0"/>
        <w:pageBreakBefore w:val="0"/>
        <w:widowControl/>
        <w:numPr>
          <w:ilvl w:val="0"/>
          <w:numId w:val="3"/>
        </w:numPr>
        <w:kinsoku/>
        <w:wordWrap/>
        <w:overflowPunct/>
        <w:topLinePunct w:val="0"/>
        <w:autoSpaceDE/>
        <w:autoSpaceDN/>
        <w:bidi w:val="0"/>
        <w:adjustRightInd/>
        <w:snapToGrid/>
        <w:spacing w:beforeLines="0" w:afterLines="0"/>
        <w:ind w:left="0" w:leftChars="0" w:firstLine="482" w:firstLineChars="20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服务内容</w:t>
      </w:r>
    </w:p>
    <w:p>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维护时间</w:t>
      </w:r>
    </w:p>
    <w:p>
      <w:pPr>
        <w:keepNext w:val="0"/>
        <w:keepLines w:val="0"/>
        <w:pageBreakBefore w:val="0"/>
        <w:widowControl/>
        <w:kinsoku/>
        <w:wordWrap/>
        <w:overflowPunct/>
        <w:topLinePunct w:val="0"/>
        <w:autoSpaceDE/>
        <w:autoSpaceDN/>
        <w:bidi w:val="0"/>
        <w:adjustRightInd/>
        <w:snapToGrid/>
        <w:spacing w:after="156" w:afterLines="50" w:line="5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lang w:val="en-US" w:eastAsia="zh-CN"/>
        </w:rPr>
        <w:t>自2024年  月  日，为期一年。</w:t>
      </w:r>
      <w:r>
        <w:rPr>
          <w:rFonts w:hint="eastAsia" w:ascii="仿宋" w:hAnsi="仿宋" w:eastAsia="仿宋" w:cs="仿宋"/>
          <w:color w:val="000000"/>
          <w:sz w:val="24"/>
          <w:szCs w:val="24"/>
          <w:highlight w:val="none"/>
          <w:lang w:val="en-US" w:eastAsia="zh-CN"/>
        </w:rPr>
        <w:t>本合同期限届满15个工作日内。</w:t>
      </w:r>
    </w:p>
    <w:p>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维护范围</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华为微模块系统3套：包括但不限于模块中的强电列头柜、服务器机柜、顶部的钢化玻璃天窗、冷通道内照明系统、动环系统及智能监控系统等的常规运维。</w:t>
      </w:r>
    </w:p>
    <w:p>
      <w:pPr>
        <w:pStyle w:val="28"/>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华为精密空调6组：每季度更换1次内机滤网、清洗不少于1次外机，每半年更换1次湿膜。</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80" w:firstLineChars="200"/>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3、甲方为乙方驻场人员提供日常维护的办公场地及必备条件，乙方必须按合同规定时间按时完成维护工作，并提前与甲方联系运维事宜。甲方运维负责人姓名及电话：</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。乙方运维人员姓名及电话：</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ind w:firstLine="482"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二、运维服务费及付款方式</w:t>
      </w:r>
    </w:p>
    <w:p>
      <w:pPr>
        <w:keepNext w:val="0"/>
        <w:keepLines w:val="0"/>
        <w:pageBreakBefore w:val="0"/>
        <w:widowControl/>
        <w:kinsoku/>
        <w:wordWrap/>
        <w:overflowPunct/>
        <w:topLinePunct w:val="0"/>
        <w:autoSpaceDE/>
        <w:autoSpaceDN/>
        <w:bidi w:val="0"/>
        <w:adjustRightInd/>
        <w:snapToGrid/>
        <w:ind w:firstLine="482"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1、运维服务费</w:t>
      </w:r>
    </w:p>
    <w:p>
      <w:pPr>
        <w:numPr>
          <w:ilvl w:val="0"/>
          <w:numId w:val="0"/>
        </w:numPr>
        <w:spacing w:beforeLines="0" w:afterLines="0"/>
        <w:ind w:left="0" w:leftChars="0" w:firstLine="360" w:firstLineChars="15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年运维服务费（大写）</w:t>
      </w:r>
      <w:r>
        <w:rPr>
          <w:rFonts w:hint="eastAsia" w:ascii="仿宋" w:hAnsi="仿宋" w:eastAsia="仿宋" w:cs="仿宋"/>
          <w:color w:val="000000"/>
          <w:sz w:val="24"/>
          <w:szCs w:val="24"/>
          <w:u w:val="single"/>
          <w:lang w:val="en-US" w:eastAsia="zh-CN"/>
        </w:rPr>
        <w:t xml:space="preserve">          元整（￥</w:t>
      </w:r>
      <w:r>
        <w:rPr>
          <w:rFonts w:hint="eastAsia" w:ascii="仿宋" w:hAnsi="仿宋" w:eastAsia="仿宋" w:cs="仿宋"/>
          <w:color w:val="auto"/>
          <w:kern w:val="2"/>
          <w:sz w:val="24"/>
          <w:szCs w:val="24"/>
          <w:u w:val="single"/>
          <w:lang w:val="en-US" w:eastAsia="zh-CN" w:bidi="ar-SA"/>
        </w:rPr>
        <w:t xml:space="preserve">        元）</w:t>
      </w:r>
      <w:r>
        <w:rPr>
          <w:rFonts w:hint="eastAsia" w:ascii="仿宋" w:hAnsi="仿宋" w:eastAsia="仿宋" w:cs="仿宋"/>
          <w:color w:val="auto"/>
          <w:kern w:val="2"/>
          <w:sz w:val="24"/>
          <w:szCs w:val="24"/>
          <w:lang w:val="en-US" w:eastAsia="zh-CN" w:bidi="ar-SA"/>
        </w:rPr>
        <w:t>。</w:t>
      </w:r>
    </w:p>
    <w:p>
      <w:pPr>
        <w:numPr>
          <w:ilvl w:val="0"/>
          <w:numId w:val="0"/>
        </w:numPr>
        <w:spacing w:beforeLines="0" w:afterLines="0"/>
        <w:ind w:left="0" w:leftChars="0" w:firstLine="360" w:firstLineChars="15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1、付款条件:合同签订后预付合同金额的80%，运维服务期满后15日内付清尾款。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keepNext w:val="0"/>
        <w:keepLines w:val="0"/>
        <w:pageBreakBefore w:val="0"/>
        <w:widowControl/>
        <w:kinsoku/>
        <w:wordWrap/>
        <w:overflowPunct/>
        <w:topLinePunct w:val="0"/>
        <w:autoSpaceDE/>
        <w:autoSpaceDN/>
        <w:bidi w:val="0"/>
        <w:adjustRightInd/>
        <w:snapToGrid/>
        <w:ind w:firstLine="482"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rPr>
        <w:t>双方</w:t>
      </w:r>
      <w:r>
        <w:rPr>
          <w:rFonts w:hint="eastAsia" w:ascii="仿宋" w:hAnsi="仿宋" w:eastAsia="仿宋" w:cs="仿宋"/>
          <w:b/>
          <w:bCs/>
          <w:color w:val="000000"/>
          <w:sz w:val="24"/>
          <w:szCs w:val="24"/>
          <w:lang w:val="en-US" w:eastAsia="zh-CN"/>
        </w:rPr>
        <w:t>权利、义务</w:t>
      </w:r>
    </w:p>
    <w:p>
      <w:pPr>
        <w:numPr>
          <w:ilvl w:val="0"/>
          <w:numId w:val="0"/>
        </w:numPr>
        <w:spacing w:beforeLines="0" w:afterLines="0"/>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甲方</w:t>
      </w:r>
      <w:r>
        <w:rPr>
          <w:rFonts w:hint="eastAsia" w:ascii="仿宋" w:hAnsi="仿宋" w:eastAsia="仿宋" w:cs="仿宋"/>
          <w:b/>
          <w:bCs/>
          <w:color w:val="000000"/>
          <w:sz w:val="24"/>
          <w:szCs w:val="24"/>
          <w:lang w:val="en-US" w:eastAsia="zh-CN"/>
        </w:rPr>
        <w:t>的权利与义务</w:t>
      </w:r>
    </w:p>
    <w:p>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有权要求乙方人员按照甲方规章进行相关运维工作；</w:t>
      </w:r>
    </w:p>
    <w:p>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有权对乙方的维护人员和质量进行检查，有权提出整改并督促乙方执行；</w:t>
      </w:r>
    </w:p>
    <w:p>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向乙方提供维保服务过程中的资源协调工作；</w:t>
      </w:r>
    </w:p>
    <w:p>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定期做好数据备份，并对备份数据进行妥善保管；</w:t>
      </w:r>
      <w:bookmarkStart w:id="0" w:name="_GoBack"/>
      <w:bookmarkEnd w:id="0"/>
    </w:p>
    <w:p>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按合同规定支付乙方维保服务费。</w:t>
      </w:r>
    </w:p>
    <w:p>
      <w:pPr>
        <w:numPr>
          <w:ilvl w:val="0"/>
          <w:numId w:val="0"/>
        </w:numPr>
        <w:spacing w:beforeLines="0" w:afterLines="0"/>
        <w:ind w:leftChars="0" w:firstLine="482" w:firstLineChars="20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乙方</w:t>
      </w:r>
      <w:r>
        <w:rPr>
          <w:rFonts w:hint="eastAsia" w:ascii="仿宋" w:hAnsi="仿宋" w:eastAsia="仿宋" w:cs="仿宋"/>
          <w:b/>
          <w:bCs/>
          <w:color w:val="000000"/>
          <w:sz w:val="24"/>
          <w:szCs w:val="24"/>
          <w:lang w:val="en-US" w:eastAsia="zh-CN"/>
        </w:rPr>
        <w:t>的权利与义务</w:t>
      </w:r>
    </w:p>
    <w:p>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有权要求甲方提供相关办公环境，包括办公场所、设备工具存放地点等；</w:t>
      </w:r>
    </w:p>
    <w:p>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有权要求甲方协调维保服务过程中所需的资源，包括人员、数据、接口等；</w:t>
      </w:r>
    </w:p>
    <w:p>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提供日常维护的易损的辅材、易耗备件、低值易耗类备品备件；</w:t>
      </w:r>
    </w:p>
    <w:p>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在乙方按照合同完成服务，有权要求甲方按本合同规定付款；</w:t>
      </w:r>
    </w:p>
    <w:p>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提供现场技术服务工作；</w:t>
      </w:r>
    </w:p>
    <w:p>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遵守甲方规章制度和相关维保服务要求；</w:t>
      </w:r>
    </w:p>
    <w:p>
      <w:pPr>
        <w:spacing w:beforeLines="0" w:afterLines="0"/>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rPr>
        <w:t>违约责任及索赔</w:t>
      </w:r>
    </w:p>
    <w:p>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甲乙双方任何一方违反合同，造成对方经济损失的，应给予对方经济赔偿。</w:t>
      </w:r>
    </w:p>
    <w:p>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如果甲乙双方就赔偿或补偿的方式、金额等存在明显分歧或争议，不能达成一致意见的，乙方可通过诉讼或仲裁(如有约定)等法律救济途径确定损失数额，甲方应按生效法律文书及时支付赔偿或补偿款项。</w:t>
      </w:r>
    </w:p>
    <w:p>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甲方</w:t>
      </w:r>
      <w:r>
        <w:rPr>
          <w:rFonts w:hint="eastAsia" w:ascii="仿宋" w:hAnsi="仿宋" w:eastAsia="仿宋" w:cs="仿宋"/>
          <w:color w:val="000000"/>
          <w:sz w:val="24"/>
          <w:szCs w:val="24"/>
          <w:lang w:val="en-US" w:eastAsia="zh-CN"/>
        </w:rPr>
        <w:t>逾期付款则按应支付合同金额0.5%日支付违约金给甲方，同时乙方有权进行催告，</w:t>
      </w:r>
      <w:r>
        <w:rPr>
          <w:rFonts w:hint="eastAsia" w:ascii="仿宋" w:hAnsi="仿宋" w:eastAsia="仿宋" w:cs="仿宋"/>
          <w:color w:val="000000"/>
          <w:sz w:val="24"/>
          <w:szCs w:val="24"/>
        </w:rPr>
        <w:t>甲方应付费用拖欠60天后，乙方有权终止本合同承担的管理目标及责任。</w:t>
      </w:r>
    </w:p>
    <w:p>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乙方未能履行合同义务（除不可抗力因素外），不能完成管理和服务目标，甲方有权要求乙方给予甲方经济赔偿。</w:t>
      </w:r>
    </w:p>
    <w:p>
      <w:pPr>
        <w:numPr>
          <w:ilvl w:val="0"/>
          <w:numId w:val="0"/>
        </w:numPr>
        <w:spacing w:beforeLines="0" w:afterLines="0"/>
        <w:ind w:leftChars="0" w:firstLine="482" w:firstLineChars="20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五、不可抗力</w:t>
      </w:r>
    </w:p>
    <w:p>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beforeLines="0" w:afterLines="0"/>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其他</w:t>
      </w:r>
    </w:p>
    <w:p>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1、本合同在履行中若发生争议，双方应协商解决。协商不成时，提交甲方所在地人民法院起诉。</w:t>
      </w:r>
    </w:p>
    <w:p>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2、本合同一式叁份，甲方贰份，乙方壹份，具有同等法律效力。</w:t>
      </w:r>
    </w:p>
    <w:p>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3、本合同签字盖章后生效</w:t>
      </w:r>
      <w:r>
        <w:rPr>
          <w:rFonts w:hint="eastAsia" w:ascii="仿宋" w:hAnsi="仿宋" w:eastAsia="仿宋" w:cs="仿宋"/>
          <w:sz w:val="24"/>
          <w:szCs w:val="24"/>
        </w:rPr>
        <w:t>。</w:t>
      </w:r>
      <w:r>
        <w:rPr>
          <w:rFonts w:hint="eastAsia" w:ascii="仿宋" w:hAnsi="仿宋" w:eastAsia="仿宋" w:cs="仿宋"/>
          <w:sz w:val="24"/>
          <w:szCs w:val="24"/>
          <w:lang w:val="en-US" w:eastAsia="zh-CN"/>
        </w:rPr>
        <w:t>本合同的变更必须有双方协商一致，并以书面形式确定。</w:t>
      </w:r>
    </w:p>
    <w:p>
      <w:pPr>
        <w:spacing w:beforeLines="0" w:afterLines="0"/>
        <w:jc w:val="left"/>
        <w:rPr>
          <w:rFonts w:hint="eastAsia" w:ascii="仿宋" w:hAnsi="仿宋" w:eastAsia="仿宋" w:cs="仿宋"/>
          <w:sz w:val="24"/>
          <w:szCs w:val="24"/>
          <w:lang w:val="en-US" w:eastAsia="zh-CN"/>
        </w:rPr>
      </w:pP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pStyle w:val="28"/>
        <w:rPr>
          <w:rFonts w:hint="eastAsia" w:ascii="仿宋" w:hAnsi="仿宋" w:eastAsia="仿宋" w:cs="仿宋"/>
          <w:sz w:val="24"/>
          <w:szCs w:val="24"/>
        </w:rPr>
      </w:pP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3485"/>
    <w:multiLevelType w:val="singleLevel"/>
    <w:tmpl w:val="AB2A3485"/>
    <w:lvl w:ilvl="0" w:tentative="0">
      <w:start w:val="1"/>
      <w:numFmt w:val="decimal"/>
      <w:suff w:val="nothing"/>
      <w:lvlText w:val="%1、"/>
      <w:lvlJc w:val="left"/>
    </w:lvl>
  </w:abstractNum>
  <w:abstractNum w:abstractNumId="1">
    <w:nsid w:val="C2E9C742"/>
    <w:multiLevelType w:val="singleLevel"/>
    <w:tmpl w:val="C2E9C742"/>
    <w:lvl w:ilvl="0" w:tentative="0">
      <w:start w:val="1"/>
      <w:numFmt w:val="decimal"/>
      <w:suff w:val="nothing"/>
      <w:lvlText w:val="%1）"/>
      <w:lvlJc w:val="left"/>
    </w:lvl>
  </w:abstractNum>
  <w:abstractNum w:abstractNumId="2">
    <w:nsid w:val="477F4FBA"/>
    <w:multiLevelType w:val="singleLevel"/>
    <w:tmpl w:val="477F4FBA"/>
    <w:lvl w:ilvl="0" w:tentative="0">
      <w:start w:val="1"/>
      <w:numFmt w:val="decimal"/>
      <w:suff w:val="nothing"/>
      <w:lvlText w:val="%1）"/>
      <w:lvlJc w:val="left"/>
    </w:lvl>
  </w:abstractNum>
  <w:abstractNum w:abstractNumId="3">
    <w:nsid w:val="4D741CA4"/>
    <w:multiLevelType w:val="singleLevel"/>
    <w:tmpl w:val="4D741CA4"/>
    <w:lvl w:ilvl="0" w:tentative="0">
      <w:start w:val="1"/>
      <w:numFmt w:val="chineseCounting"/>
      <w:suff w:val="nothing"/>
      <w:lvlText w:val="%1、"/>
      <w:lvlJc w:val="left"/>
      <w:pPr>
        <w:ind w:left="345" w:leftChars="0" w:firstLine="0" w:firstLineChars="0"/>
      </w:pPr>
      <w:rPr>
        <w:rFonts w:hint="eastAsia"/>
      </w:rPr>
    </w:lvl>
  </w:abstractNum>
  <w:abstractNum w:abstractNumId="4">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5">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B331B2"/>
    <w:rsid w:val="59D75C73"/>
    <w:rsid w:val="5BBF6D32"/>
    <w:rsid w:val="5C4A6C71"/>
    <w:rsid w:val="5C744CE0"/>
    <w:rsid w:val="5CA61E20"/>
    <w:rsid w:val="5DF96E76"/>
    <w:rsid w:val="5E0F059C"/>
    <w:rsid w:val="5FE226DD"/>
    <w:rsid w:val="60C33852"/>
    <w:rsid w:val="61852A60"/>
    <w:rsid w:val="62567581"/>
    <w:rsid w:val="64467711"/>
    <w:rsid w:val="64E752C4"/>
    <w:rsid w:val="65F729C7"/>
    <w:rsid w:val="664C0A74"/>
    <w:rsid w:val="66934D57"/>
    <w:rsid w:val="677551D7"/>
    <w:rsid w:val="69FD1FFD"/>
    <w:rsid w:val="6BB31049"/>
    <w:rsid w:val="6BF15785"/>
    <w:rsid w:val="6CF430F2"/>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3728</Words>
  <Characters>3792</Characters>
  <Lines>0</Lines>
  <Paragraphs>0</Paragraphs>
  <TotalTime>10</TotalTime>
  <ScaleCrop>false</ScaleCrop>
  <LinksUpToDate>false</LinksUpToDate>
  <CharactersWithSpaces>4475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2024-11-07T08:17:24Z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