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桥架及配件采购询价文件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2.4、供应商代理证明或原厂授权。(原厂直接参与无需提供此项) </w:t>
      </w:r>
    </w:p>
    <w:p>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2.5、所投产品为国标的承诺函</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11"/>
        <w:gridCol w:w="4730"/>
        <w:gridCol w:w="1949"/>
        <w:gridCol w:w="775"/>
        <w:gridCol w:w="332"/>
        <w:gridCol w:w="860"/>
        <w:gridCol w:w="1077"/>
        <w:gridCol w:w="982"/>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6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6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6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6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6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桥架</w:t>
            </w:r>
          </w:p>
        </w:tc>
        <w:tc>
          <w:tcPr>
            <w:tcW w:w="6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桥架,规格：100*50*1.0;材质：热镀锌金属桥架;含盖板、连接片、螺栓、接地跨接线等配件；接地跨接线、板材厚度国标要求，</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8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5716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45度弯头</w:t>
            </w:r>
          </w:p>
        </w:tc>
        <w:tc>
          <w:tcPr>
            <w:tcW w:w="667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桥架,规格：100*50*1.0;材质：热镀锌金属桥架;含盖板；板材厚度国标要求，</w:t>
            </w:r>
          </w:p>
        </w:tc>
        <w:tc>
          <w:tcPr>
            <w:tcW w:w="110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桥架,规格：100*50*1.0;材质：热镀锌金属桥架;含盖板；板材厚度国标要求，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桥架,规格：100*50*1.0;材质：热镀锌金属桥架;含盖板；板材厚度国标要求，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5</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桥架</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桥架;规格：200*100*1.2;材质：热镀锌金属桥架；含盖板、连接片、螺栓、接地跨接线等配件；接地跨接线、板材厚度国标要求，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11394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6</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45度弯头</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7</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150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水平四通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9</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70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200变300的三通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11</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200变300的四通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桥架;规格：200*100*1.2;材质：热镀锌金属桥架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12</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桥架</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桥架;规格：300*100*1.5;材质：热镀锌金属桥架；含盖板、连接片、螺栓、接地跨接线等配件；接地跨接线、板材厚度国标要求，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13</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45度弯头</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桥架;规格：300*100*1.5;材质：热镀锌金属桥架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14</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桥架;规格：300*100*1.5;材质：热镀锌金属桥架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15</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桥架;规格：300*100*1.5;材质：热镀锌金属桥架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16</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300变200的直弯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桥架;规格：300*100*1.5;材质：热镀锌金属桥架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17</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桥架</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桥架;规格：300*150*1.5;材质：热镀锌金属桥架；含盖板、连接片、螺栓、接地跨接线等配件；接地跨接线、板材厚度国标要求，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1040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18</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45度弯头</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19</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水平四通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21</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22</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300变200的直弯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23</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300变400的三通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桥架;规格：300*150*1.5;材质：热镀锌金属桥架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24</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桥架</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桥架;规格：400*200*2.0;材质：热镀锌金属桥架；含盖板、连接片、螺栓、接地跨接线等配件；接地跨接线、板材厚度国标要求，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427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25</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45度弯头</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26</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27</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400变200的三通</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28</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水平直角弯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29</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400变300的直角弯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30</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400变200的直角弯</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桥架;规格：400*200*2.0;材质：热镀锌金属桥架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含盖板；接地跨接线、板材厚度国标要求，</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31</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横担</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热镀锌钢板制作，100宽度桥架使用，板材厚度国标要求≥1.0mm；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3800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32</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横担</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热镀锌钢板制作，200宽度桥架使用，板材厚度国标要求≥1.2mm；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8100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33</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横担</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热镀锌钢板制作，300宽度桥架使用，板材厚度国标要求≥1.5mm；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220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34</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横担</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热镀锌钢板制作，400宽度桥架使用，板材厚度国标要求≥2.0mm；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35</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伸缩节</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热镀锌钢板制作，100宽度桥架使用，板材厚度国标要求≥1.0mm；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36</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伸缩节</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热镀锌钢板制作，200宽度桥架使用，板材厚度国标要求≥1.2mm；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37</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伸缩节</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热镀锌钢板制作，300宽度桥架使用；板材厚度国标要求≥1.5mm；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38</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伸缩节</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热镀锌钢板制作，400宽度桥架使用；板材厚度国标要求≥2.0mm；</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39</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角钢</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镀锌角钢40mm*40mm*4mm，符合国标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米</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2500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吊杆</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镀锌8#，符合国标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米</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8000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41</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吊杆</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镀锌10#，符合国标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米</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23000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42</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吊杆</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镀锌12#，符合国标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米</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3000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43</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吊杆五件套</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镀锌8#，符合国标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6000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44</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吊杆五件套</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镀锌10#，符合国标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40000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45</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吊杆五件套</w:t>
            </w:r>
          </w:p>
        </w:tc>
        <w:tc>
          <w:tcPr>
            <w:tcW w:w="66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镀锌12#，符合国标</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5000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46</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注：预计分8-10批发货</w:t>
            </w:r>
            <w:r>
              <w:rPr>
                <w:rFonts w:hint="eastAsia" w:ascii="宋体" w:hAnsi="宋体" w:cs="宋体"/>
                <w:i w:val="0"/>
                <w:iCs w:val="0"/>
                <w:color w:val="FF0000"/>
                <w:kern w:val="0"/>
                <w:sz w:val="24"/>
                <w:szCs w:val="24"/>
                <w:u w:val="none"/>
                <w:lang w:val="en-US" w:eastAsia="zh-CN" w:bidi="ar"/>
              </w:rPr>
              <w:t>，请各单位充分考虑运费，中标人不得以任何理由拒绝招标人多次发货要求。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15天</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合同签订后预付合同金额的40%，最后一批货发出前付清全款</w:t>
            </w:r>
            <w:bookmarkStart w:id="0" w:name="_GoBack"/>
            <w:bookmarkEnd w:id="0"/>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1、付款方式：合同签订后预付合同金额的40%，最后一批货发出前付清全款。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1140310"/>
    <w:rsid w:val="345319C9"/>
    <w:rsid w:val="39963E4D"/>
    <w:rsid w:val="3ABD1E29"/>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395DCC"/>
    <w:rsid w:val="677551D7"/>
    <w:rsid w:val="69FD1FFD"/>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20</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2024-12-31T10:07:27Z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