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智能网络及会议综合系统采购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848"/>
        <w:gridCol w:w="705"/>
        <w:gridCol w:w="3688"/>
        <w:gridCol w:w="450"/>
        <w:gridCol w:w="1242"/>
        <w:gridCol w:w="1032"/>
        <w:gridCol w:w="145"/>
        <w:gridCol w:w="1129"/>
        <w:gridCol w:w="1413"/>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1"/>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1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品牌型号</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3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24口交换机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华为S5735S-L24T4S-QA2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千兆光模块</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华为SEP-GE-LX-SM1310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24口交换机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华为S5735S-L24T4S-QA2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千兆光模块</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华为SEP-GE-LX-SM1310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48口交换机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华为S5735S-L48T4S-A1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千兆光模块</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华为SEP-GE-LX-SM1310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24口交换机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华为S5735S-L24T4S-QA2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48口交换机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华为S5735S-L48T4S-A1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千兆光模块</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华为SEP-GE-LX-SM1310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无线AP</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华为AirEngine5761S-11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无线AP控制器</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华为AirEngine 9700S-S</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无线授权</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华为L-WAC-S-8AP</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24口POE交换机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华为S5735S-L24P4S-A2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千兆光模块</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华为SFP-GE-LX-SM1310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24口POE交换机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华为S5735S-L24P4S-A2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24口交换机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华为S5735S-L24T4S-QA2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千兆光模块</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华为SFP-GE-LX-SM1310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室内半球摄像机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海康威视DS-2CD3346WDV3-I</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门禁一体机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海康威视DS-K1T6QSSD-F702M</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开门按钮</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海康威视86型</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单门磁力锁</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海康威视DS-K4H230BSC</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双门磁力锁</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海康威视DS-K4H230BDC</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单门磁力锁支架</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双门磁力锁支架</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海康威视配套</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门禁电源</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海康威视DS-K7B-12V5A</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同轴吸顶扬声器</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湖山GXD-20WA</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合并式定压功率放大器</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湖山GB350HMF</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便携无线麦克风</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湖山DS-UT20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天线分配器</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湖山DS-ANT20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天线合路器</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湖山DS-HLQ21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有源对数周期天线</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湖山DS-ZQS20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高清视频会议终端</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科达SKY X530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高清会议摄像机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科达MOON50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全频线性柱阵列</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Soundking|音王LA306C</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全频线性柱阵列</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Soundking|音王LA408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吸顶音箱</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Soundking|音王HC4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功率放大器</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Soundking|音王AL700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调音台</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Soundking|音王KG08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调音台</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Soundking|音王KG12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数字音频矩阵</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Soundking|音王DPM88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电源时序器</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Soundking|音王AZ-8N</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一拖四无线会议麦克风（方管）</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湖山DS-UX40</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音箱线</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国产优质定制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音频线</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国产优质定制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HDMI高清线</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国产优质定制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其他辅材</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国产优质定制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会议系统主机</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湖山DS-CS300M</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会议代表单元</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湖山DS-E7DS</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智能综合处理中心</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湖山TDP1212B</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会议延长线</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湖山定制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会议地插</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国产优质定制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集成及调试</w:t>
            </w:r>
          </w:p>
        </w:tc>
        <w:tc>
          <w:tcPr>
            <w:tcW w:w="4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53</w:t>
            </w:r>
          </w:p>
        </w:tc>
        <w:tc>
          <w:tcPr>
            <w:tcW w:w="130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3年</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30日</w:t>
            </w:r>
          </w:p>
        </w:tc>
        <w:tc>
          <w:tcPr>
            <w:tcW w:w="2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w:t>
            </w:r>
            <w:bookmarkStart w:id="0" w:name="_GoBack"/>
            <w:bookmarkEnd w:id="0"/>
            <w:r>
              <w:rPr>
                <w:rFonts w:hint="eastAsia" w:ascii="宋体" w:hAnsi="宋体" w:eastAsia="宋体" w:cs="宋体"/>
                <w:i w:val="0"/>
                <w:iCs w:val="0"/>
                <w:color w:val="000000"/>
                <w:kern w:val="0"/>
                <w:sz w:val="24"/>
                <w:szCs w:val="24"/>
                <w:u w:val="none"/>
                <w:lang w:val="en-US" w:eastAsia="zh-CN" w:bidi="ar"/>
              </w:rPr>
              <w:t>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黑体" w:hAnsi="宋体" w:eastAsia="黑体" w:cs="黑体"/>
                <w:i w:val="0"/>
                <w:iCs w:val="0"/>
                <w:color w:val="FF0000"/>
                <w:sz w:val="24"/>
                <w:szCs w:val="24"/>
                <w:u w:val="none"/>
                <w:lang w:val="en-US" w:eastAsia="zh-CN"/>
              </w:rPr>
              <w:t>合同签订后付合同总价的90%，项目终验完成后付至审定价的100%。</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1、付款方式：合同签订后付合同价的90%，项目终验完成后付至审定价的100%。</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7C124F"/>
    <w:rsid w:val="15B405D8"/>
    <w:rsid w:val="173B2189"/>
    <w:rsid w:val="1870435E"/>
    <w:rsid w:val="18B65219"/>
    <w:rsid w:val="193251CA"/>
    <w:rsid w:val="1A48720E"/>
    <w:rsid w:val="1A921AAB"/>
    <w:rsid w:val="1B811C42"/>
    <w:rsid w:val="1CB642A6"/>
    <w:rsid w:val="1CBE542C"/>
    <w:rsid w:val="1DCD7F80"/>
    <w:rsid w:val="1E434544"/>
    <w:rsid w:val="1F741D8C"/>
    <w:rsid w:val="1FC0011B"/>
    <w:rsid w:val="1FF000D2"/>
    <w:rsid w:val="21D50FC6"/>
    <w:rsid w:val="245503E6"/>
    <w:rsid w:val="25BA7F75"/>
    <w:rsid w:val="25DE44B5"/>
    <w:rsid w:val="264801BD"/>
    <w:rsid w:val="26A67AF4"/>
    <w:rsid w:val="271F1F6D"/>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9302F4"/>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2025-01-03T02:42:22Z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