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信息化设备采购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询价文件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2"/>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pP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br w:type="page"/>
      </w:r>
    </w:p>
    <w:p>
      <w:pPr>
        <w:rPr>
          <w:rFonts w:hint="eastAsia"/>
          <w:lang w:val="en-US" w:eastAsia="zh-CN"/>
        </w:rPr>
        <w:sectPr>
          <w:pgSz w:w="11906" w:h="16838"/>
          <w:pgMar w:top="1440" w:right="1800" w:bottom="1440" w:left="1800" w:header="851" w:footer="992" w:gutter="0"/>
          <w:cols w:space="425" w:num="1"/>
          <w:docGrid w:type="lines" w:linePitch="312" w:charSpace="0"/>
        </w:sectPr>
      </w:pPr>
    </w:p>
    <w:p>
      <w:pPr>
        <w:ind w:left="0" w:leftChars="0" w:firstLine="0" w:firstLineChars="0"/>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2.4、原厂授权。(原厂直接参与无需提供此项)</w:t>
      </w:r>
    </w:p>
    <w:tbl>
      <w:tblPr>
        <w:tblStyle w:val="24"/>
        <w:tblW w:w="132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3"/>
        <w:gridCol w:w="1862"/>
        <w:gridCol w:w="788"/>
        <w:gridCol w:w="3777"/>
        <w:gridCol w:w="1080"/>
        <w:gridCol w:w="1080"/>
        <w:gridCol w:w="357"/>
        <w:gridCol w:w="1006"/>
        <w:gridCol w:w="1612"/>
        <w:gridCol w:w="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13215"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3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3795" w:type="dxa"/>
            <w:gridSpan w:val="4"/>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3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3795" w:type="dxa"/>
            <w:gridSpan w:val="4"/>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3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3795" w:type="dxa"/>
            <w:gridSpan w:val="4"/>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3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3795" w:type="dxa"/>
            <w:gridSpan w:val="4"/>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4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3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3795" w:type="dxa"/>
            <w:gridSpan w:val="4"/>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jc w:val="center"/>
        </w:trPr>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6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7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品牌型号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9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6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37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生命体征雷达</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科达</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手环定位设备</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科达</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49</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电子腕带</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科达</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留置室讯问指挥终端</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科达、UTC-307</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新风设备</w:t>
            </w:r>
          </w:p>
        </w:tc>
        <w:tc>
          <w:tcPr>
            <w:tcW w:w="3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同录主机（蓝光）</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科达、SVR2832-D08EI-N</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全景摄像机</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科达、IPC2533-FN-SIR50-L0200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全景摄像机</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科达、IPC2533-FN-SIR50-L0200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特写摄像机</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科达、IPC2533-FN-SIR50-Z2812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全景摄像机</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科达、IPC2533-FN-SIR50-L0200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出入口人脸半球</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科达、IPC2533-FN-SIR50-L0280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人脸比对枪型摄像机</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科达、IPC2852-Fi4cN</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人脸门禁一体机</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科达、KSCA121-ANW-FC</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单门磁力锁</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海康威视、DS-K4H258SS</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全景摄像机</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科达、IPC2533-FN-SIR50-L0200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全景摄像机</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科达、IPC2533-FN-SIR50-L0200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全景摄像机</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科达、IPC2533-FN-SIR50-L0200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人脸门禁一体机</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科达、KSCA121-ANW-FC</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全景摄像机</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科达、IPC2533-FN-SIR50-L0200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吸顶式麦克风</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科达、SY301</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存储硬盘</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希捷、8T</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2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服务显卡</w:t>
            </w:r>
          </w:p>
        </w:tc>
        <w:tc>
          <w:tcPr>
            <w:tcW w:w="3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中科可控</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23</w:t>
            </w:r>
          </w:p>
        </w:tc>
        <w:tc>
          <w:tcPr>
            <w:tcW w:w="123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1321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注：以上报价含可抵扣的增值税专用发票、运费以及调试相关服务费用。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2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是否接受保证金</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（控制价的2%）           </w:t>
            </w:r>
          </w:p>
        </w:tc>
        <w:tc>
          <w:tcPr>
            <w:tcW w:w="4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bookmarkStart w:id="0" w:name="_GoBack"/>
            <w:bookmarkEnd w:id="0"/>
          </w:p>
        </w:tc>
        <w:tc>
          <w:tcPr>
            <w:tcW w:w="2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3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2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五</w:t>
            </w:r>
            <w:r>
              <w:rPr>
                <w:rFonts w:hint="eastAsia" w:ascii="宋体" w:hAnsi="宋体" w:eastAsia="宋体" w:cs="宋体"/>
                <w:i w:val="0"/>
                <w:iCs w:val="0"/>
                <w:color w:val="FF0000"/>
                <w:kern w:val="0"/>
                <w:sz w:val="24"/>
                <w:szCs w:val="24"/>
                <w:u w:val="none"/>
                <w:lang w:val="en-US" w:eastAsia="zh-CN" w:bidi="ar"/>
              </w:rPr>
              <w:t>年</w:t>
            </w:r>
          </w:p>
        </w:tc>
        <w:tc>
          <w:tcPr>
            <w:tcW w:w="2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3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jc w:val="center"/>
        </w:trPr>
        <w:tc>
          <w:tcPr>
            <w:tcW w:w="2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10</w:t>
            </w:r>
            <w:r>
              <w:rPr>
                <w:rFonts w:hint="eastAsia" w:ascii="宋体" w:hAnsi="宋体" w:eastAsia="宋体" w:cs="宋体"/>
                <w:i w:val="0"/>
                <w:iCs w:val="0"/>
                <w:color w:val="FF0000"/>
                <w:kern w:val="0"/>
                <w:sz w:val="24"/>
                <w:szCs w:val="24"/>
                <w:u w:val="none"/>
                <w:lang w:val="en-US" w:eastAsia="zh-CN" w:bidi="ar"/>
              </w:rPr>
              <w:t>天</w:t>
            </w:r>
          </w:p>
        </w:tc>
        <w:tc>
          <w:tcPr>
            <w:tcW w:w="2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34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default" w:ascii="宋体" w:hAnsi="宋体" w:eastAsia="宋体" w:cs="宋体"/>
                <w:i w:val="0"/>
                <w:iCs w:val="0"/>
                <w:color w:val="FF0000"/>
                <w:sz w:val="24"/>
                <w:szCs w:val="24"/>
                <w:u w:val="none"/>
                <w:lang w:val="en-US"/>
              </w:rPr>
            </w:pPr>
            <w:r>
              <w:rPr>
                <w:rFonts w:hint="eastAsia" w:ascii="宋体" w:hAnsi="宋体" w:cs="宋体"/>
                <w:i w:val="0"/>
                <w:iCs w:val="0"/>
                <w:color w:val="FF0000"/>
                <w:kern w:val="0"/>
                <w:sz w:val="24"/>
                <w:szCs w:val="24"/>
                <w:u w:val="none"/>
                <w:lang w:val="en-US" w:eastAsia="zh-CN" w:bidi="ar"/>
              </w:rPr>
              <w:t>项目初验</w:t>
            </w:r>
            <w:r>
              <w:rPr>
                <w:rFonts w:hint="eastAsia" w:ascii="宋体" w:hAnsi="宋体" w:eastAsia="宋体" w:cs="宋体"/>
                <w:i w:val="0"/>
                <w:iCs w:val="0"/>
                <w:color w:val="FF0000"/>
                <w:kern w:val="0"/>
                <w:sz w:val="24"/>
                <w:szCs w:val="24"/>
                <w:u w:val="none"/>
                <w:lang w:val="en-US" w:eastAsia="zh-CN" w:bidi="ar"/>
              </w:rPr>
              <w:t>后</w:t>
            </w:r>
            <w:r>
              <w:rPr>
                <w:rFonts w:hint="eastAsia" w:ascii="宋体" w:hAnsi="宋体" w:cs="宋体"/>
                <w:i w:val="0"/>
                <w:iCs w:val="0"/>
                <w:color w:val="FF0000"/>
                <w:kern w:val="0"/>
                <w:sz w:val="24"/>
                <w:szCs w:val="24"/>
                <w:u w:val="none"/>
                <w:lang w:val="en-US" w:eastAsia="zh-CN" w:bidi="ar"/>
              </w:rPr>
              <w:t>预付</w:t>
            </w:r>
            <w:r>
              <w:rPr>
                <w:rFonts w:hint="eastAsia" w:ascii="宋体" w:hAnsi="宋体" w:eastAsia="宋体" w:cs="宋体"/>
                <w:i w:val="0"/>
                <w:iCs w:val="0"/>
                <w:color w:val="FF0000"/>
                <w:kern w:val="0"/>
                <w:sz w:val="24"/>
                <w:szCs w:val="24"/>
                <w:u w:val="none"/>
                <w:lang w:val="en-US" w:eastAsia="zh-CN" w:bidi="ar"/>
              </w:rPr>
              <w:t>合同价的</w:t>
            </w:r>
            <w:r>
              <w:rPr>
                <w:rFonts w:hint="eastAsia" w:ascii="宋体" w:hAnsi="宋体" w:cs="宋体"/>
                <w:i w:val="0"/>
                <w:iCs w:val="0"/>
                <w:color w:val="FF0000"/>
                <w:kern w:val="0"/>
                <w:sz w:val="24"/>
                <w:szCs w:val="24"/>
                <w:u w:val="none"/>
                <w:lang w:val="en-US" w:eastAsia="zh-CN" w:bidi="ar"/>
              </w:rPr>
              <w:t>7</w:t>
            </w:r>
            <w:r>
              <w:rPr>
                <w:rFonts w:hint="eastAsia" w:ascii="宋体" w:hAnsi="宋体" w:eastAsia="宋体" w:cs="宋体"/>
                <w:i w:val="0"/>
                <w:iCs w:val="0"/>
                <w:color w:val="FF0000"/>
                <w:kern w:val="0"/>
                <w:sz w:val="24"/>
                <w:szCs w:val="24"/>
                <w:u w:val="none"/>
                <w:lang w:val="en-US" w:eastAsia="zh-CN" w:bidi="ar"/>
              </w:rPr>
              <w:t>0%，项目终验完成后付至</w:t>
            </w:r>
            <w:r>
              <w:rPr>
                <w:rFonts w:hint="eastAsia" w:ascii="宋体" w:hAnsi="宋体" w:cs="宋体"/>
                <w:i w:val="0"/>
                <w:iCs w:val="0"/>
                <w:color w:val="FF0000"/>
                <w:kern w:val="0"/>
                <w:sz w:val="24"/>
                <w:szCs w:val="24"/>
                <w:u w:val="none"/>
                <w:lang w:val="en-US" w:eastAsia="zh-CN" w:bidi="ar"/>
              </w:rPr>
              <w:t>合同</w:t>
            </w:r>
            <w:r>
              <w:rPr>
                <w:rFonts w:hint="eastAsia" w:ascii="宋体" w:hAnsi="宋体" w:eastAsia="宋体" w:cs="宋体"/>
                <w:i w:val="0"/>
                <w:iCs w:val="0"/>
                <w:color w:val="FF0000"/>
                <w:kern w:val="0"/>
                <w:sz w:val="24"/>
                <w:szCs w:val="24"/>
                <w:u w:val="none"/>
                <w:lang w:val="en-US" w:eastAsia="zh-CN" w:bidi="ar"/>
              </w:rPr>
              <w:t>价的</w:t>
            </w:r>
            <w:r>
              <w:rPr>
                <w:rFonts w:hint="eastAsia" w:ascii="宋体" w:hAnsi="宋体" w:cs="宋体"/>
                <w:i w:val="0"/>
                <w:iCs w:val="0"/>
                <w:color w:val="FF0000"/>
                <w:kern w:val="0"/>
                <w:sz w:val="24"/>
                <w:szCs w:val="24"/>
                <w:u w:val="none"/>
                <w:lang w:val="en-US" w:eastAsia="zh-CN" w:bidi="ar"/>
              </w:rPr>
              <w:t>97</w:t>
            </w:r>
            <w:r>
              <w:rPr>
                <w:rFonts w:hint="eastAsia" w:ascii="宋体" w:hAnsi="宋体" w:eastAsia="宋体" w:cs="宋体"/>
                <w:i w:val="0"/>
                <w:iCs w:val="0"/>
                <w:color w:val="FF0000"/>
                <w:kern w:val="0"/>
                <w:sz w:val="24"/>
                <w:szCs w:val="24"/>
                <w:u w:val="none"/>
                <w:lang w:val="en-US" w:eastAsia="zh-CN" w:bidi="ar"/>
              </w:rPr>
              <w:t>%</w:t>
            </w:r>
            <w:r>
              <w:rPr>
                <w:rFonts w:hint="eastAsia" w:ascii="宋体" w:hAnsi="宋体" w:cs="宋体"/>
                <w:i w:val="0"/>
                <w:iCs w:val="0"/>
                <w:color w:val="FF0000"/>
                <w:kern w:val="0"/>
                <w:sz w:val="24"/>
                <w:szCs w:val="24"/>
                <w:u w:val="none"/>
                <w:lang w:val="en-US" w:eastAsia="zh-CN" w:bidi="ar"/>
              </w:rPr>
              <w:t>，余3%待质保期满且设备无故障后付清。</w:t>
            </w:r>
          </w:p>
        </w:tc>
      </w:tr>
    </w:tbl>
    <w:p>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1、付款条件:项目初验后预付合同价的70%，项目终验完成后付至合同价的97%，余3%待质保期满且设备无故障后付清。</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MzVkOGQwNzkyMmE2YWFhOTNmNjMyMGU1YzhhM2UifQ=="/>
  </w:docVars>
  <w:rsids>
    <w:rsidRoot w:val="1F741D8C"/>
    <w:rsid w:val="00F471B2"/>
    <w:rsid w:val="02A71646"/>
    <w:rsid w:val="02BD280C"/>
    <w:rsid w:val="02BD7BE0"/>
    <w:rsid w:val="03626CD0"/>
    <w:rsid w:val="03BB36BB"/>
    <w:rsid w:val="047E1E86"/>
    <w:rsid w:val="06E65ABA"/>
    <w:rsid w:val="07CC21FA"/>
    <w:rsid w:val="082F30B8"/>
    <w:rsid w:val="0886108C"/>
    <w:rsid w:val="0BC2638F"/>
    <w:rsid w:val="0BDC6B78"/>
    <w:rsid w:val="0C882A07"/>
    <w:rsid w:val="0CD142BE"/>
    <w:rsid w:val="0D78696A"/>
    <w:rsid w:val="0DBF30C4"/>
    <w:rsid w:val="0F7C7F74"/>
    <w:rsid w:val="100159F1"/>
    <w:rsid w:val="10275305"/>
    <w:rsid w:val="10941E2C"/>
    <w:rsid w:val="138B678C"/>
    <w:rsid w:val="13A43BC7"/>
    <w:rsid w:val="144B0B25"/>
    <w:rsid w:val="15044A88"/>
    <w:rsid w:val="157C124F"/>
    <w:rsid w:val="15B405D8"/>
    <w:rsid w:val="173B2189"/>
    <w:rsid w:val="1870435E"/>
    <w:rsid w:val="18B65219"/>
    <w:rsid w:val="193251CA"/>
    <w:rsid w:val="1959078F"/>
    <w:rsid w:val="1A48720E"/>
    <w:rsid w:val="1B811C42"/>
    <w:rsid w:val="1C1414B5"/>
    <w:rsid w:val="1CB642A6"/>
    <w:rsid w:val="1CBE542C"/>
    <w:rsid w:val="1E434544"/>
    <w:rsid w:val="1F741D8C"/>
    <w:rsid w:val="1FC0011B"/>
    <w:rsid w:val="1FF000D2"/>
    <w:rsid w:val="245503E6"/>
    <w:rsid w:val="25BA7F75"/>
    <w:rsid w:val="25DE44B5"/>
    <w:rsid w:val="264801BD"/>
    <w:rsid w:val="26A67AF4"/>
    <w:rsid w:val="27933CD9"/>
    <w:rsid w:val="28A43FAC"/>
    <w:rsid w:val="292E08DE"/>
    <w:rsid w:val="2B9E5DD1"/>
    <w:rsid w:val="2C761843"/>
    <w:rsid w:val="2D4E2C33"/>
    <w:rsid w:val="2DC647A7"/>
    <w:rsid w:val="2E1B2848"/>
    <w:rsid w:val="2E342253"/>
    <w:rsid w:val="300D6BCC"/>
    <w:rsid w:val="31140310"/>
    <w:rsid w:val="339B7C29"/>
    <w:rsid w:val="345319C9"/>
    <w:rsid w:val="37A7439E"/>
    <w:rsid w:val="37CA2BC5"/>
    <w:rsid w:val="38544E55"/>
    <w:rsid w:val="39963E4D"/>
    <w:rsid w:val="3B275F4B"/>
    <w:rsid w:val="3E5157CB"/>
    <w:rsid w:val="3F213A00"/>
    <w:rsid w:val="40130CAF"/>
    <w:rsid w:val="420E65EA"/>
    <w:rsid w:val="42BF1B92"/>
    <w:rsid w:val="435E2995"/>
    <w:rsid w:val="43966372"/>
    <w:rsid w:val="44EF43A5"/>
    <w:rsid w:val="450976B4"/>
    <w:rsid w:val="45FB77CB"/>
    <w:rsid w:val="46AE2EAA"/>
    <w:rsid w:val="48832749"/>
    <w:rsid w:val="493C6A78"/>
    <w:rsid w:val="49AB2DE5"/>
    <w:rsid w:val="4A0E06F8"/>
    <w:rsid w:val="4B1A7BD1"/>
    <w:rsid w:val="4BB038DA"/>
    <w:rsid w:val="4C73767A"/>
    <w:rsid w:val="4D030046"/>
    <w:rsid w:val="4DB0558F"/>
    <w:rsid w:val="4E802F1D"/>
    <w:rsid w:val="4EF042FA"/>
    <w:rsid w:val="50417986"/>
    <w:rsid w:val="515E18DF"/>
    <w:rsid w:val="51765D9A"/>
    <w:rsid w:val="521C7398"/>
    <w:rsid w:val="52C14E18"/>
    <w:rsid w:val="5316709E"/>
    <w:rsid w:val="56E07198"/>
    <w:rsid w:val="57221F02"/>
    <w:rsid w:val="57DB3B40"/>
    <w:rsid w:val="59D75C73"/>
    <w:rsid w:val="5BBF6D32"/>
    <w:rsid w:val="5C4A6C71"/>
    <w:rsid w:val="5CA61E20"/>
    <w:rsid w:val="5DF96E76"/>
    <w:rsid w:val="5E0F059C"/>
    <w:rsid w:val="5FE226DD"/>
    <w:rsid w:val="60C33852"/>
    <w:rsid w:val="61852A60"/>
    <w:rsid w:val="62567581"/>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2C34258"/>
    <w:rsid w:val="73CE218C"/>
    <w:rsid w:val="79DA1D09"/>
    <w:rsid w:val="7A182199"/>
    <w:rsid w:val="7D0F483D"/>
    <w:rsid w:val="7E37366F"/>
    <w:rsid w:val="7EBD0D2C"/>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qFormat/>
    <w:uiPriority w:val="0"/>
    <w:pPr>
      <w:spacing w:before="120"/>
    </w:pPr>
    <w:rPr>
      <w:rFonts w:ascii="Arial" w:hAnsi="Arial"/>
      <w:sz w:val="24"/>
    </w:rPr>
  </w:style>
  <w:style w:type="paragraph" w:styleId="15">
    <w:name w:val="Body Text"/>
    <w:basedOn w:val="1"/>
    <w:next w:val="1"/>
    <w:unhideWhenUsed/>
    <w:qFormat/>
    <w:uiPriority w:val="99"/>
    <w:pPr>
      <w:spacing w:after="120"/>
    </w:pPr>
    <w:rPr>
      <w:sz w:val="28"/>
    </w:rPr>
  </w:style>
  <w:style w:type="paragraph" w:styleId="16">
    <w:name w:val="Body Text Indent"/>
    <w:basedOn w:val="1"/>
    <w:qFormat/>
    <w:uiPriority w:val="99"/>
    <w:pPr>
      <w:spacing w:after="120"/>
      <w:ind w:left="420" w:leftChars="200"/>
    </w:pPr>
  </w:style>
  <w:style w:type="paragraph" w:styleId="17">
    <w:name w:val="Plain Text"/>
    <w:basedOn w:val="1"/>
    <w:next w:val="18"/>
    <w:unhideWhenUsed/>
    <w:qFormat/>
    <w:uiPriority w:val="0"/>
    <w:rPr>
      <w:rFonts w:ascii="宋体" w:hAnsi="Courier New"/>
      <w:szCs w:val="20"/>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qFormat/>
    <w:uiPriority w:val="0"/>
    <w:rPr>
      <w:sz w:val="24"/>
    </w:rPr>
  </w:style>
  <w:style w:type="paragraph" w:styleId="22">
    <w:name w:val="Body Text First Indent"/>
    <w:basedOn w:val="1"/>
    <w:next w:val="23"/>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00FF"/>
      <w:u w:val="single"/>
    </w:rPr>
  </w:style>
  <w:style w:type="paragraph" w:customStyle="1" w:styleId="28">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qFormat/>
    <w:uiPriority w:val="0"/>
    <w:rPr>
      <w:rFonts w:hint="eastAsia" w:ascii="宋体" w:hAnsi="宋体" w:eastAsia="宋体" w:cs="宋体"/>
      <w:color w:val="000000"/>
      <w:sz w:val="22"/>
      <w:szCs w:val="22"/>
      <w:u w:val="none"/>
    </w:rPr>
  </w:style>
  <w:style w:type="character" w:customStyle="1" w:styleId="31">
    <w:name w:val="font112"/>
    <w:basedOn w:val="26"/>
    <w:qFormat/>
    <w:uiPriority w:val="0"/>
    <w:rPr>
      <w:rFonts w:hint="eastAsia" w:ascii="宋体" w:hAnsi="宋体" w:eastAsia="宋体" w:cs="宋体"/>
      <w:color w:val="000000"/>
      <w:sz w:val="24"/>
      <w:szCs w:val="24"/>
      <w:u w:val="none"/>
    </w:rPr>
  </w:style>
  <w:style w:type="character" w:customStyle="1" w:styleId="32">
    <w:name w:val="font21"/>
    <w:basedOn w:val="26"/>
    <w:qFormat/>
    <w:uiPriority w:val="0"/>
    <w:rPr>
      <w:rFonts w:hint="eastAsia" w:ascii="宋体" w:hAnsi="宋体" w:eastAsia="宋体" w:cs="宋体"/>
      <w:color w:val="000000"/>
      <w:sz w:val="24"/>
      <w:szCs w:val="24"/>
      <w:u w:val="none"/>
    </w:rPr>
  </w:style>
  <w:style w:type="character" w:customStyle="1" w:styleId="33">
    <w:name w:val="font121"/>
    <w:basedOn w:val="26"/>
    <w:qFormat/>
    <w:uiPriority w:val="0"/>
    <w:rPr>
      <w:rFonts w:hint="eastAsia" w:ascii="宋体" w:hAnsi="宋体" w:eastAsia="宋体" w:cs="宋体"/>
      <w:color w:val="000000"/>
      <w:sz w:val="24"/>
      <w:szCs w:val="24"/>
      <w:u w:val="single"/>
    </w:rPr>
  </w:style>
  <w:style w:type="character" w:customStyle="1" w:styleId="34">
    <w:name w:val="font101"/>
    <w:basedOn w:val="26"/>
    <w:qFormat/>
    <w:uiPriority w:val="0"/>
    <w:rPr>
      <w:rFonts w:hint="eastAsia" w:ascii="黑体" w:hAnsi="宋体" w:eastAsia="黑体" w:cs="黑体"/>
      <w:color w:val="000000"/>
      <w:sz w:val="24"/>
      <w:szCs w:val="24"/>
      <w:u w:val="none"/>
    </w:rPr>
  </w:style>
  <w:style w:type="character" w:customStyle="1" w:styleId="35">
    <w:name w:val="font12"/>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qFormat/>
    <w:uiPriority w:val="0"/>
    <w:rPr>
      <w:rFonts w:hint="eastAsia" w:ascii="宋体" w:hAnsi="宋体" w:eastAsia="宋体" w:cs="宋体"/>
      <w:color w:val="000000"/>
      <w:sz w:val="24"/>
      <w:szCs w:val="24"/>
      <w:u w:val="single"/>
    </w:rPr>
  </w:style>
  <w:style w:type="character" w:customStyle="1" w:styleId="37">
    <w:name w:val="font91"/>
    <w:basedOn w:val="26"/>
    <w:qFormat/>
    <w:uiPriority w:val="0"/>
    <w:rPr>
      <w:rFonts w:hint="eastAsia" w:ascii="黑体" w:hAnsi="宋体" w:eastAsia="黑体" w:cs="黑体"/>
      <w:color w:val="000000"/>
      <w:sz w:val="24"/>
      <w:szCs w:val="24"/>
      <w:u w:val="none"/>
    </w:rPr>
  </w:style>
  <w:style w:type="character" w:customStyle="1" w:styleId="38">
    <w:name w:val="font81"/>
    <w:basedOn w:val="26"/>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qFormat/>
    <w:uiPriority w:val="0"/>
    <w:rPr>
      <w:rFonts w:hint="eastAsia" w:ascii="黑体" w:hAnsi="宋体" w:eastAsia="黑体" w:cs="黑体"/>
      <w:color w:val="FF0000"/>
      <w:sz w:val="24"/>
      <w:szCs w:val="24"/>
      <w:u w:val="none"/>
    </w:rPr>
  </w:style>
  <w:style w:type="paragraph" w:customStyle="1" w:styleId="43">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444</Words>
  <Characters>449</Characters>
  <Lines>0</Lines>
  <Paragraphs>0</Paragraphs>
  <TotalTime>15</TotalTime>
  <ScaleCrop>false</ScaleCrop>
  <LinksUpToDate>false</LinksUpToDate>
  <CharactersWithSpaces>715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2025-02-11T02:58:56Z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D60408F55433464F8FB77B3FD84BE81D_13</vt:lpwstr>
  </property>
</Properties>
</file>