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LED屏采购询价文件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458"/>
        <w:gridCol w:w="5446"/>
        <w:gridCol w:w="1039"/>
        <w:gridCol w:w="958"/>
        <w:gridCol w:w="1213"/>
        <w:gridCol w:w="1050"/>
        <w:gridCol w:w="979"/>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所投品牌</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9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合价</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sz w:val="22"/>
                <w:szCs w:val="22"/>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LED全彩屏（P1.25）</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★1、屏体尺寸≥5.44长(m)*2.4高(m)；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★2、像素间距≤1.25 mm；像素密度≥640000 点/m²；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★3、显示屏采用COB 3in1封装（提供封面具备CAL、CMA、CNAS标志的检测报告复印件并加盖投标人公章）；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4、显示屏采用全倒装工艺，R/G/B晶片全部为倒装，所有晶片与PCB基板不使用任何材质的线材连接；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5、显示屏具备较好的对比度，最高对比度应≥15000：1；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6、显示屏具备较好的亮度均匀性，亮度均匀性应≥98%（按T/SLDA 01-2020）；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7、显示屏应能展现丰富的色域，NTSC色域覆盖率应≥110% NTSC（按T/SLDA 01-2020）；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8、显示屏LED模组表面防护等级应≥IP65；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9、在显示屏长时间不用或者环境湿度过大时，通过软件可以自动实现定期开机以灰度渐变方式回温除湿；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10、箱体内部线材连接，模块与转接板间无线材连接。电源、接收卡采用插拔式无线连接。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★11、含千兆网口发送盒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13.06</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restart"/>
            <w:tcBorders>
              <w:top w:val="single" w:color="auto" w:sz="4" w:space="0"/>
              <w:left w:val="single" w:color="auto" w:sz="4" w:space="0"/>
              <w:right w:val="single" w:color="auto" w:sz="4" w:space="0"/>
            </w:tcBorders>
            <w:shd w:val="clear" w:color="auto" w:fill="auto"/>
            <w:vAlign w:val="center"/>
          </w:tcPr>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r>
              <w:rPr>
                <w:rFonts w:hint="eastAsia"/>
                <w:lang w:val="en-US" w:eastAsia="zh-CN"/>
              </w:rPr>
              <w:t>海康、</w:t>
            </w:r>
          </w:p>
          <w:p>
            <w:pPr>
              <w:ind w:left="0" w:leftChars="0" w:firstLine="0" w:firstLineChars="0"/>
              <w:jc w:val="center"/>
              <w:rPr>
                <w:rFonts w:hint="eastAsia"/>
                <w:lang w:val="en-US" w:eastAsia="zh-CN"/>
              </w:rPr>
            </w:pPr>
            <w:r>
              <w:rPr>
                <w:rFonts w:hint="eastAsia"/>
                <w:lang w:val="en-US" w:eastAsia="zh-CN"/>
              </w:rPr>
              <w:t>大华、</w:t>
            </w:r>
          </w:p>
          <w:p>
            <w:pPr>
              <w:ind w:left="0" w:leftChars="0" w:firstLine="0" w:firstLineChars="0"/>
              <w:jc w:val="center"/>
              <w:rPr>
                <w:rFonts w:hint="eastAsia"/>
                <w:lang w:val="en-US" w:eastAsia="zh-CN"/>
              </w:rPr>
            </w:pPr>
            <w:r>
              <w:rPr>
                <w:rFonts w:hint="eastAsia"/>
                <w:lang w:val="en-US" w:eastAsia="zh-CN"/>
              </w:rPr>
              <w:t>艾比森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视频处理器</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1、控制器至少12路HDMI输入，输出：≥16路网口；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2、单个网口输出卡最大输出视频分辨率为10240×1016或1016×10240；支持光口和网口间复制和热备；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3、支持自检功能，包括运行情况、CPU、EMMC、通信、内存、电压及温度等状态；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4、设备前面板内置不低于3.5寸液晶显示屏，可通过显示屏显示设备运行参数和状态，包括温度、电压、风扇及IP地址。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5、支持非规则建屏，2K的DVI和HDMI接口输出分辨率宽度或高度最大支持2560，单张DVI和HDMI输出卡最大分辨率为10240×972或884×10240。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6、单个输出板卡支持16个窗口叠加显示，支持窗口图像漫游、无极缩放、画面截取、翻转及冻结。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7、单块屏幕支持1个背景图和1个0SD叠加显示，背景图最大支持 15360×4096 显示，0SD可为文字或图片，最大支持19200×3240显示，且透明度和位置可调，支持显示画面冻结、黑屏、亮度调节操作。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8、支持对输出图像的亮度、对比度、饱和度、色度、gamma 调节及添加测试画面图像。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9、可对输入图像画面添加台标，可调整台标文字背景、位置。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10、支持设置不低于 2000 个用户场景，场景可以设置为图片或视频，场景切换支持淡入淡出、直切效果，场景调取响应时间不大于 60ms，支持多场景分组合、场景一键轮巡。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11、支持对所有输入源同时预监，支持对所有输出进行回显（包含IP流回显）。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12、4K输入卡支持 4096×2160@60Hz视频图像；IPC输入卡支持4K视频接入，单卡支持16路视频解码输出。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13、支持板卡热插拔功能，设备无需重启和设置，图像显示应正常。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14、支持用户权限分级管理和设置，超级管理员用户可分配用户使用权限。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15、支持windows、麒麟（Kylin）、Linux操作系统访问设备及交互操作。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★16、为保证系统的稳定性，需与LED大屏同一品牌</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大屏控制客户端</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★1、CPU不低于1颗，核数≥8核，主频≥2.5GHz（CPU需在中国信息安全测评中心安全可靠测评结果公告目录中，提供公告截图）；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2、内存≥16G；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3、硬盘≥1T SSD盘；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4、独立显卡≥2G；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5、液晶显示器≥23寸；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6、板载单口千兆RJ45网卡；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7、含键盘、鼠标；</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LED屏钢结构</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用于安装支撑屏体的钢结构体安装；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1、LED高清屏幕采用水平安装（具体依照现场条件确定），安装结构能满足LED高清显示屏的整体均匀平滑要求，结构便于安装和调试；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2、为保障显示屏的整体平整度及避免支架结构日久变形，需原厂安装、调试；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3、支架颜色、质感、支撑结构同中心的整体风格一致，具体细节。</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13.06</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屏体边框</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包边及压条，根据现场情况自选；</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15.73</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LED配电箱</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1、提供不低于15KW供电系统（含PLC远程控制），配电给大屏设备供电需按照标准网络机房供电标准设计供电。电源供电需考虑二级防雷，设备、保护地分开，整个大屏接地系统需接入大楼接地系统。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2、防护功能：具有防静电、抗震动、防电磁干扰、抗雷击等功能，具有电源过压、过流、断电保护、分布上电措施，具有实时监控温度、故障报警功能。</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1.视频传输线、音频传输线、音视频设备转接头、</w:t>
            </w:r>
            <w:r>
              <w:rPr>
                <w:rFonts w:hint="eastAsia" w:ascii="宋体" w:hAnsi="宋体" w:cs="宋体"/>
                <w:i w:val="0"/>
                <w:iCs w:val="0"/>
                <w:color w:val="000000"/>
                <w:kern w:val="0"/>
                <w:sz w:val="21"/>
                <w:szCs w:val="21"/>
                <w:u w:val="none"/>
                <w:lang w:val="en-US" w:eastAsia="zh-CN" w:bidi="ar"/>
              </w:rPr>
              <w:t>网线、</w:t>
            </w:r>
            <w:r>
              <w:rPr>
                <w:rFonts w:hint="eastAsia" w:ascii="宋体" w:hAnsi="宋体" w:eastAsia="宋体" w:cs="宋体"/>
                <w:i w:val="0"/>
                <w:iCs w:val="0"/>
                <w:color w:val="000000"/>
                <w:kern w:val="0"/>
                <w:sz w:val="21"/>
                <w:szCs w:val="21"/>
                <w:u w:val="none"/>
                <w:lang w:val="en-US" w:eastAsia="zh-CN" w:bidi="ar"/>
              </w:rPr>
              <w:t>电源线等辅材</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8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62" w:type="dxa"/>
            <w:vMerge w:val="continue"/>
            <w:tcBorders>
              <w:left w:val="single" w:color="auto" w:sz="4" w:space="0"/>
              <w:bottom w:val="single" w:color="000000"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20天</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FF0000"/>
                <w:sz w:val="24"/>
                <w:szCs w:val="24"/>
                <w:u w:val="none"/>
                <w:lang w:val="en-US" w:eastAsia="zh-CN"/>
              </w:rPr>
            </w:pPr>
            <w:bookmarkStart w:id="0" w:name="OLE_LINK2"/>
            <w:r>
              <w:rPr>
                <w:rFonts w:hint="eastAsia" w:ascii="宋体" w:hAnsi="宋体" w:eastAsia="宋体" w:cs="宋体"/>
                <w:i w:val="0"/>
                <w:iCs w:val="0"/>
                <w:color w:val="FF0000"/>
                <w:sz w:val="24"/>
                <w:szCs w:val="24"/>
                <w:u w:val="none"/>
                <w:lang w:val="en-US" w:eastAsia="zh-CN"/>
              </w:rPr>
              <w:t>合同签订后预付合同价的</w:t>
            </w:r>
            <w:r>
              <w:rPr>
                <w:rFonts w:hint="eastAsia" w:ascii="宋体" w:hAnsi="宋体" w:cs="宋体"/>
                <w:i w:val="0"/>
                <w:iCs w:val="0"/>
                <w:color w:val="FF0000"/>
                <w:sz w:val="24"/>
                <w:szCs w:val="24"/>
                <w:u w:val="none"/>
                <w:lang w:val="en-US" w:eastAsia="zh-CN"/>
              </w:rPr>
              <w:t>4</w:t>
            </w:r>
            <w:r>
              <w:rPr>
                <w:rFonts w:hint="eastAsia" w:ascii="宋体" w:hAnsi="宋体" w:eastAsia="宋体" w:cs="宋体"/>
                <w:i w:val="0"/>
                <w:iCs w:val="0"/>
                <w:color w:val="FF0000"/>
                <w:sz w:val="24"/>
                <w:szCs w:val="24"/>
                <w:u w:val="none"/>
                <w:lang w:val="en-US" w:eastAsia="zh-CN"/>
              </w:rPr>
              <w:t>0%，货到验收合格后</w:t>
            </w:r>
            <w:r>
              <w:rPr>
                <w:rFonts w:hint="eastAsia" w:ascii="宋体" w:hAnsi="宋体" w:cs="宋体"/>
                <w:i w:val="0"/>
                <w:iCs w:val="0"/>
                <w:color w:val="FF0000"/>
                <w:sz w:val="24"/>
                <w:szCs w:val="24"/>
                <w:u w:val="none"/>
                <w:lang w:val="en-US" w:eastAsia="zh-CN"/>
              </w:rPr>
              <w:t>二</w:t>
            </w:r>
            <w:r>
              <w:rPr>
                <w:rFonts w:hint="eastAsia" w:ascii="宋体" w:hAnsi="宋体" w:eastAsia="宋体" w:cs="宋体"/>
                <w:i w:val="0"/>
                <w:iCs w:val="0"/>
                <w:color w:val="FF0000"/>
                <w:sz w:val="24"/>
                <w:szCs w:val="24"/>
                <w:u w:val="none"/>
                <w:lang w:val="en-US" w:eastAsia="zh-CN"/>
              </w:rPr>
              <w:t>个月内付清尾款</w:t>
            </w:r>
            <w:bookmarkEnd w:id="0"/>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1、付款方式：合同签订后预付合同价的40%，货到验收合格后二个月内付清尾款。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bookmarkStart w:id="2" w:name="_GoBack"/>
      <w:bookmarkEnd w:id="2"/>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bookmarkStart w:id="1" w:name="OLE_LINK1"/>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bookmarkEnd w:id="1"/>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25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8F3F5F"/>
    <w:rsid w:val="03BB36BB"/>
    <w:rsid w:val="0454705C"/>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97107B9"/>
    <w:rsid w:val="1A48720E"/>
    <w:rsid w:val="1A921AAB"/>
    <w:rsid w:val="1AF01D54"/>
    <w:rsid w:val="1B811C42"/>
    <w:rsid w:val="1CB642A6"/>
    <w:rsid w:val="1CBE542C"/>
    <w:rsid w:val="1E434544"/>
    <w:rsid w:val="1F741D8C"/>
    <w:rsid w:val="1F7A5921"/>
    <w:rsid w:val="1FC0011B"/>
    <w:rsid w:val="1FF000D2"/>
    <w:rsid w:val="23694EFA"/>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04F1FE8"/>
    <w:rsid w:val="31140310"/>
    <w:rsid w:val="31AC5E92"/>
    <w:rsid w:val="345319C9"/>
    <w:rsid w:val="39963E4D"/>
    <w:rsid w:val="3AEF3EC0"/>
    <w:rsid w:val="3AFA4330"/>
    <w:rsid w:val="3B275F4B"/>
    <w:rsid w:val="3E5157CB"/>
    <w:rsid w:val="40D00EF3"/>
    <w:rsid w:val="41FC07FC"/>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4FA0614"/>
    <w:rsid w:val="65F729C7"/>
    <w:rsid w:val="65F96058"/>
    <w:rsid w:val="66934D57"/>
    <w:rsid w:val="67395DCC"/>
    <w:rsid w:val="677551D7"/>
    <w:rsid w:val="69FD1FFD"/>
    <w:rsid w:val="6A5A00DF"/>
    <w:rsid w:val="6BB31049"/>
    <w:rsid w:val="6BF15785"/>
    <w:rsid w:val="6CF430F2"/>
    <w:rsid w:val="6F321DFD"/>
    <w:rsid w:val="6F575DD1"/>
    <w:rsid w:val="70155795"/>
    <w:rsid w:val="70314EAA"/>
    <w:rsid w:val="706B3AE0"/>
    <w:rsid w:val="71345178"/>
    <w:rsid w:val="71E07B02"/>
    <w:rsid w:val="71F423E0"/>
    <w:rsid w:val="73CE218C"/>
    <w:rsid w:val="73F71A18"/>
    <w:rsid w:val="79591705"/>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2025-04-07T02:00:31Z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