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信息技术服务标准符合性三级证书升二级咨询服务询价文件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21"/>
        <w:rPr>
          <w:rFonts w:hint="eastAsia"/>
          <w:highlight w:val="none"/>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5"/>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pPr>
        <w:pStyle w:val="5"/>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pPr>
        <w:pStyle w:val="5"/>
        <w:numPr>
          <w:ilvl w:val="0"/>
          <w:numId w:val="2"/>
        </w:numPr>
        <w:bidi w:val="0"/>
        <w:ind w:left="0" w:leftChars="0" w:firstLine="420" w:firstLineChars="0"/>
        <w:jc w:val="center"/>
        <w:rPr>
          <w:highlight w:val="none"/>
        </w:rPr>
      </w:pPr>
      <w:r>
        <w:rPr>
          <w:rFonts w:hint="eastAsia"/>
          <w:highlight w:val="none"/>
        </w:rPr>
        <w:t>报 价 函</w:t>
      </w:r>
    </w:p>
    <w:p>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pPr>
        <w:spacing w:line="360" w:lineRule="auto"/>
        <w:ind w:firstLine="480"/>
        <w:rPr>
          <w:rFonts w:hint="eastAsia" w:ascii="仿宋" w:hAnsi="仿宋" w:eastAsia="仿宋" w:cs="仿宋"/>
          <w:sz w:val="28"/>
          <w:szCs w:val="28"/>
          <w:highlight w:val="none"/>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pPr>
        <w:spacing w:line="360" w:lineRule="auto"/>
        <w:ind w:firstLine="480"/>
        <w:rPr>
          <w:szCs w:val="24"/>
          <w:highlight w:val="none"/>
        </w:rPr>
      </w:pPr>
    </w:p>
    <w:p>
      <w:pPr>
        <w:spacing w:line="360" w:lineRule="auto"/>
        <w:ind w:firstLine="480"/>
        <w:rPr>
          <w:szCs w:val="24"/>
          <w:highlight w:val="none"/>
        </w:rPr>
      </w:pPr>
    </w:p>
    <w:p>
      <w:pPr>
        <w:spacing w:line="360" w:lineRule="auto"/>
        <w:ind w:firstLine="480"/>
        <w:rPr>
          <w:rFonts w:hint="eastAsia" w:ascii="仿宋" w:hAnsi="仿宋" w:eastAsia="仿宋" w:cs="仿宋"/>
          <w:sz w:val="28"/>
          <w:szCs w:val="28"/>
          <w:highlight w:val="none"/>
        </w:rPr>
      </w:pP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pPr>
        <w:pStyle w:val="14"/>
        <w:rPr>
          <w:rFonts w:hint="eastAsia" w:ascii="仿宋" w:hAnsi="仿宋" w:eastAsia="仿宋" w:cs="仿宋"/>
          <w:sz w:val="28"/>
          <w:szCs w:val="28"/>
          <w:highlight w:val="none"/>
        </w:rPr>
      </w:pPr>
    </w:p>
    <w:p>
      <w:pPr>
        <w:pStyle w:val="5"/>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pPr>
        <w:ind w:firstLine="482"/>
        <w:rPr>
          <w:rFonts w:hint="eastAsia" w:ascii="仿宋" w:hAnsi="仿宋" w:eastAsia="仿宋" w:cs="仿宋"/>
          <w:b/>
          <w:bCs/>
          <w:sz w:val="28"/>
          <w:szCs w:val="28"/>
          <w:highlight w:val="none"/>
          <w:lang w:val="zh-CN"/>
        </w:rPr>
      </w:pPr>
    </w:p>
    <w:p>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5"/>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pPr>
        <w:rPr>
          <w:rFonts w:hint="eastAsia"/>
          <w:highlight w:val="none"/>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rPr>
          <w:rFonts w:hint="eastAsia"/>
          <w:highlight w:val="none"/>
        </w:rPr>
      </w:pPr>
      <w:r>
        <w:rPr>
          <w:rFonts w:hint="eastAsia"/>
          <w:highlight w:val="none"/>
        </w:rPr>
        <w:br w:type="page"/>
      </w:r>
    </w:p>
    <w:p>
      <w:pPr>
        <w:pStyle w:val="14"/>
        <w:rPr>
          <w:rFonts w:hint="eastAsia"/>
          <w:highlight w:val="none"/>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2.4、成功案例</w:t>
      </w: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16"/>
        <w:gridCol w:w="1785"/>
        <w:gridCol w:w="4154"/>
        <w:gridCol w:w="1408"/>
        <w:gridCol w:w="1038"/>
        <w:gridCol w:w="635"/>
        <w:gridCol w:w="427"/>
        <w:gridCol w:w="1350"/>
        <w:gridCol w:w="1396"/>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5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363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62" w:type="dxa"/>
            <w:gridSpan w:val="2"/>
            <w:tcBorders>
              <w:top w:val="single" w:color="000000" w:sz="4" w:space="0"/>
              <w:left w:val="nil"/>
              <w:bottom w:val="single" w:color="000000" w:sz="4" w:space="0"/>
              <w:right w:val="nil"/>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63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62" w:type="dxa"/>
            <w:gridSpan w:val="2"/>
            <w:tcBorders>
              <w:top w:val="single" w:color="000000" w:sz="4" w:space="0"/>
              <w:left w:val="nil"/>
              <w:bottom w:val="single" w:color="000000" w:sz="4" w:space="0"/>
              <w:right w:val="nil"/>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63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25"/>
                <w:rFonts w:hint="eastAsia" w:ascii="宋体" w:hAnsi="宋体" w:eastAsia="宋体" w:cs="宋体"/>
                <w:i w:val="0"/>
                <w:iCs w:val="0"/>
                <w:sz w:val="22"/>
                <w:szCs w:val="22"/>
                <w:u w:val="single"/>
                <w:bdr w:val="none" w:color="auto" w:sz="0" w:space="0"/>
              </w:rPr>
              <w:t>HABAccb@163.com</w:t>
            </w:r>
            <w:r>
              <w:rPr>
                <w:rFonts w:hint="eastAsia" w:ascii="宋体" w:hAnsi="宋体" w:eastAsia="宋体" w:cs="宋体"/>
                <w:i w:val="0"/>
                <w:iCs w:val="0"/>
                <w:kern w:val="0"/>
                <w:sz w:val="22"/>
                <w:szCs w:val="22"/>
                <w:u w:val="single"/>
                <w:bdr w:val="none" w:color="auto" w:sz="0" w:space="0"/>
                <w:lang w:val="en-US" w:eastAsia="zh-CN" w:bidi="ar"/>
              </w:rPr>
              <w:fldChar w:fldCharType="end"/>
            </w: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63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556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3635"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序号</w:t>
            </w:r>
          </w:p>
        </w:tc>
        <w:tc>
          <w:tcPr>
            <w:tcW w:w="17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证书名称</w:t>
            </w:r>
          </w:p>
        </w:tc>
        <w:tc>
          <w:tcPr>
            <w:tcW w:w="556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参数要求</w:t>
            </w:r>
          </w:p>
        </w:tc>
        <w:tc>
          <w:tcPr>
            <w:tcW w:w="103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单位</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数量</w:t>
            </w:r>
          </w:p>
        </w:tc>
        <w:tc>
          <w:tcPr>
            <w:tcW w:w="27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金额（元）</w:t>
            </w:r>
          </w:p>
        </w:tc>
        <w:tc>
          <w:tcPr>
            <w:tcW w:w="8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556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val="0"/>
                <w:bCs w:val="0"/>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单价</w:t>
            </w:r>
          </w:p>
        </w:tc>
        <w:tc>
          <w:tcPr>
            <w:tcW w:w="1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黑体" w:hAnsi="宋体" w:eastAsia="黑体" w:cs="黑体"/>
                <w:b w:val="0"/>
                <w:bCs w:val="0"/>
                <w:i w:val="0"/>
                <w:iCs w:val="0"/>
                <w:color w:val="000000"/>
                <w:kern w:val="0"/>
                <w:sz w:val="24"/>
                <w:szCs w:val="24"/>
                <w:u w:val="none"/>
                <w:lang w:val="en-US" w:eastAsia="zh-CN" w:bidi="ar"/>
              </w:rPr>
              <w:t>合价</w:t>
            </w:r>
          </w:p>
        </w:tc>
        <w:tc>
          <w:tcPr>
            <w:tcW w:w="889"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ITSS二级证书第一年初审</w:t>
            </w:r>
          </w:p>
        </w:tc>
        <w:tc>
          <w:tcPr>
            <w:tcW w:w="55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包括证书认证费、审核费、评估费、咨询服务费、咨询师差旅费、运维工具费等全部费用</w:t>
            </w:r>
          </w:p>
        </w:tc>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ITSS二级证书第二年年审</w:t>
            </w:r>
          </w:p>
        </w:tc>
        <w:tc>
          <w:tcPr>
            <w:tcW w:w="55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包括证书认证费、审核费、评估费、咨询服务费、咨询师差旅费、运维工具费等全部费用</w:t>
            </w:r>
          </w:p>
        </w:tc>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2" w:hRule="atLeast"/>
        </w:trPr>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ITSS二级证书第三年年审</w:t>
            </w:r>
          </w:p>
        </w:tc>
        <w:tc>
          <w:tcPr>
            <w:tcW w:w="55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包括证书认证费、审核费、评估费、咨询服务费、咨询师差旅费、运维工具费等全部费用</w:t>
            </w:r>
          </w:p>
        </w:tc>
        <w:tc>
          <w:tcPr>
            <w:tcW w:w="10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w:t>
            </w:r>
          </w:p>
        </w:tc>
        <w:tc>
          <w:tcPr>
            <w:tcW w:w="10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944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合计：</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998"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是否接受保证金（控制价的2%）           </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c>
          <w:tcPr>
            <w:tcW w:w="308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b/>
                <w:bCs/>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（成交金额的10%）</w:t>
            </w:r>
          </w:p>
        </w:tc>
        <w:tc>
          <w:tcPr>
            <w:tcW w:w="406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报价有效期</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c>
          <w:tcPr>
            <w:tcW w:w="308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税点</w:t>
            </w:r>
          </w:p>
        </w:tc>
        <w:tc>
          <w:tcPr>
            <w:tcW w:w="406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270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获证期限：           </w:t>
            </w:r>
          </w:p>
        </w:tc>
        <w:tc>
          <w:tcPr>
            <w:tcW w:w="4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6个月</w:t>
            </w:r>
          </w:p>
        </w:tc>
        <w:tc>
          <w:tcPr>
            <w:tcW w:w="308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付款方式</w:t>
            </w:r>
          </w:p>
        </w:tc>
        <w:tc>
          <w:tcPr>
            <w:tcW w:w="406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FF0000"/>
                <w:kern w:val="0"/>
                <w:sz w:val="24"/>
                <w:szCs w:val="24"/>
                <w:u w:val="none"/>
                <w:lang w:val="en-US" w:eastAsia="zh-CN" w:bidi="ar"/>
              </w:rPr>
              <w:t>下证后付款</w:t>
            </w:r>
          </w:p>
        </w:tc>
      </w:tr>
    </w:tbl>
    <w:p>
      <w:pPr>
        <w:pStyle w:val="22"/>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信息技术服务标准符合性三级证书升二级咨询服务委托代理合同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eastAsia="zh-CN"/>
        </w:rPr>
        <w:t>信息技术服务标准符合性二级证书</w:t>
      </w:r>
      <w:r>
        <w:rPr>
          <w:rFonts w:hint="eastAsia" w:ascii="仿宋" w:hAnsi="仿宋" w:eastAsia="仿宋" w:cs="仿宋"/>
          <w:sz w:val="24"/>
          <w:szCs w:val="24"/>
          <w:highlight w:val="none"/>
        </w:rPr>
        <w:t xml:space="preserve">办理等事项，签订本合同。 </w:t>
      </w:r>
      <w:bookmarkStart w:id="2" w:name="_GoBack"/>
      <w:bookmarkEnd w:id="2"/>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bookmarkStart w:id="0" w:name="OLE_LINK1"/>
      <w:bookmarkStart w:id="1" w:name="OLE_LINK2"/>
      <w:r>
        <w:rPr>
          <w:rFonts w:hint="eastAsia" w:ascii="仿宋" w:hAnsi="仿宋" w:eastAsia="仿宋" w:cs="仿宋"/>
          <w:sz w:val="24"/>
          <w:szCs w:val="24"/>
          <w:highlight w:val="none"/>
          <w:lang w:val="en-US" w:eastAsia="zh-CN"/>
        </w:rPr>
        <w:t>信息技术服务标准符合性二级</w:t>
      </w:r>
      <w:bookmarkEnd w:id="0"/>
      <w:r>
        <w:rPr>
          <w:rFonts w:hint="eastAsia" w:ascii="仿宋" w:hAnsi="仿宋" w:eastAsia="仿宋" w:cs="仿宋"/>
          <w:sz w:val="24"/>
          <w:szCs w:val="24"/>
          <w:highlight w:val="none"/>
          <w:lang w:val="en-US" w:eastAsia="zh-CN"/>
        </w:rPr>
        <w:t>证书</w:t>
      </w:r>
      <w:bookmarkEnd w:id="1"/>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信息技术服务标准符合性三级证书升二级咨询服务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sz w:val="24"/>
          <w:szCs w:val="24"/>
          <w:highlight w:val="none"/>
          <w:lang w:val="en-US" w:eastAsia="zh-CN"/>
        </w:rPr>
        <w:t>信息技术服务标准符合性二级证书</w:t>
      </w:r>
      <w:r>
        <w:rPr>
          <w:rFonts w:hint="eastAsia" w:ascii="仿宋" w:hAnsi="仿宋" w:eastAsia="仿宋" w:cs="仿宋"/>
          <w:kern w:val="2"/>
          <w:sz w:val="24"/>
          <w:szCs w:val="24"/>
          <w:highlight w:val="none"/>
          <w:lang w:val="en-US" w:eastAsia="zh-CN" w:bidi="ar-SA"/>
        </w:rPr>
        <w:t>第一年初审费用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信息技术服务标准符合性二级证书</w:t>
      </w:r>
      <w:r>
        <w:rPr>
          <w:rFonts w:hint="eastAsia" w:ascii="仿宋" w:hAnsi="仿宋" w:eastAsia="仿宋" w:cs="仿宋"/>
          <w:kern w:val="2"/>
          <w:sz w:val="24"/>
          <w:szCs w:val="24"/>
          <w:highlight w:val="none"/>
          <w:lang w:val="en-US" w:eastAsia="zh-CN" w:bidi="ar-SA"/>
        </w:rPr>
        <w:t>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rPr>
          <w:rFonts w:hint="default"/>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信息技术服务标准符合性二级证书</w:t>
      </w:r>
      <w:r>
        <w:rPr>
          <w:rFonts w:hint="eastAsia" w:ascii="仿宋" w:hAnsi="仿宋" w:eastAsia="仿宋" w:cs="仿宋"/>
          <w:kern w:val="2"/>
          <w:sz w:val="24"/>
          <w:szCs w:val="24"/>
          <w:highlight w:val="none"/>
          <w:lang w:val="en-US" w:eastAsia="zh-CN" w:bidi="ar-SA"/>
        </w:rPr>
        <w:t>第三年监督审核费用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3、以上咨询服务费用乙方需先提前提供增值税发票。</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sz w:val="24"/>
          <w:szCs w:val="24"/>
          <w:highlight w:val="none"/>
          <w:lang w:val="en-US" w:eastAsia="zh-CN"/>
        </w:rPr>
        <w:t xml:space="preserve">4、 </w:t>
      </w:r>
      <w:r>
        <w:rPr>
          <w:rFonts w:hint="eastAsia" w:ascii="仿宋" w:hAnsi="仿宋" w:eastAsia="仿宋" w:cs="仿宋"/>
          <w:color w:val="auto"/>
          <w:sz w:val="24"/>
          <w:szCs w:val="24"/>
          <w:highlight w:val="green"/>
          <w:lang w:val="en-US" w:eastAsia="zh-CN"/>
        </w:rPr>
        <w:t>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480" w:leftChars="200"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left="480" w:leftChars="200"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pPr>
        <w:pStyle w:val="26"/>
        <w:rPr>
          <w:rFonts w:hint="eastAsia" w:ascii="仿宋" w:hAnsi="仿宋" w:eastAsia="仿宋" w:cs="仿宋"/>
          <w:sz w:val="24"/>
          <w:szCs w:val="24"/>
          <w:highlight w:val="none"/>
        </w:rPr>
      </w:pPr>
    </w:p>
    <w:p>
      <w:pPr>
        <w:rPr>
          <w:rFonts w:hint="eastAsia"/>
        </w:rPr>
      </w:pP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隶二_GBK">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25</w:t>
                    </w:r>
                    <w:r>
                      <w:fldChar w:fldCharType="end"/>
                    </w:r>
                  </w:p>
                </w:txbxContent>
              </v:textbox>
            </v:shape>
          </w:pict>
        </mc:Fallback>
      </mc:AlternateContent>
    </w:r>
  </w:p>
  <w:p>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0896752"/>
    <w:rsid w:val="3716115D"/>
    <w:rsid w:val="38945D44"/>
    <w:rsid w:val="39297DD7"/>
    <w:rsid w:val="39963E4D"/>
    <w:rsid w:val="3C7E352D"/>
    <w:rsid w:val="46AE2EAA"/>
    <w:rsid w:val="48711A69"/>
    <w:rsid w:val="48832749"/>
    <w:rsid w:val="492B0F4E"/>
    <w:rsid w:val="4A0E06F8"/>
    <w:rsid w:val="4BB038DA"/>
    <w:rsid w:val="4C314936"/>
    <w:rsid w:val="50417986"/>
    <w:rsid w:val="54D15000"/>
    <w:rsid w:val="57A86680"/>
    <w:rsid w:val="57DB3B40"/>
    <w:rsid w:val="59BE6F5A"/>
    <w:rsid w:val="5BBF6D32"/>
    <w:rsid w:val="5CA61E20"/>
    <w:rsid w:val="614F4B26"/>
    <w:rsid w:val="61852A60"/>
    <w:rsid w:val="64A92B09"/>
    <w:rsid w:val="65081387"/>
    <w:rsid w:val="658B2972"/>
    <w:rsid w:val="65FB65A7"/>
    <w:rsid w:val="68720F6A"/>
    <w:rsid w:val="6875280B"/>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toa heading"/>
    <w:basedOn w:val="1"/>
    <w:next w:val="1"/>
    <w:qFormat/>
    <w:uiPriority w:val="0"/>
    <w:pPr>
      <w:spacing w:before="120"/>
    </w:pPr>
    <w:rPr>
      <w:rFonts w:ascii="Arial" w:hAnsi="Arial"/>
      <w:sz w:val="24"/>
    </w:rPr>
  </w:style>
  <w:style w:type="paragraph" w:styleId="14">
    <w:name w:val="Body Text"/>
    <w:basedOn w:val="1"/>
    <w:next w:val="1"/>
    <w:unhideWhenUsed/>
    <w:qFormat/>
    <w:uiPriority w:val="99"/>
    <w:pPr>
      <w:spacing w:after="120"/>
    </w:pPr>
    <w:rPr>
      <w:sz w:val="28"/>
    </w:rPr>
  </w:style>
  <w:style w:type="paragraph" w:styleId="15">
    <w:name w:val="Body Text Indent"/>
    <w:basedOn w:val="1"/>
    <w:qFormat/>
    <w:uiPriority w:val="99"/>
    <w:pPr>
      <w:spacing w:after="120"/>
      <w:ind w:left="420" w:leftChars="200"/>
    </w:pPr>
  </w:style>
  <w:style w:type="paragraph" w:styleId="16">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17">
    <w:name w:val="Plain Text"/>
    <w:basedOn w:val="1"/>
    <w:unhideWhenUsed/>
    <w:qFormat/>
    <w:uiPriority w:val="0"/>
    <w:rPr>
      <w:rFonts w:ascii="宋体" w:hAnsi="Courier New"/>
      <w:szCs w:val="20"/>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next w:val="1"/>
    <w:qFormat/>
    <w:uiPriority w:val="99"/>
  </w:style>
  <w:style w:type="character" w:styleId="25">
    <w:name w:val="Hyperlink"/>
    <w:basedOn w:val="24"/>
    <w:qFormat/>
    <w:uiPriority w:val="0"/>
    <w:rPr>
      <w:color w:val="0000FF"/>
      <w:u w:val="single"/>
    </w:rPr>
  </w:style>
  <w:style w:type="paragraph" w:customStyle="1" w:styleId="26">
    <w:name w:val="段"/>
    <w:basedOn w:val="1"/>
    <w:next w:val="1"/>
    <w:qFormat/>
    <w:uiPriority w:val="0"/>
    <w:pPr>
      <w:ind w:firstLine="425"/>
    </w:pPr>
    <w:rPr>
      <w:rFonts w:ascii="宋体" w:eastAsia="宋体"/>
      <w:sz w:val="21"/>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qFormat/>
    <w:uiPriority w:val="0"/>
    <w:rPr>
      <w:rFonts w:hint="eastAsia" w:ascii="宋体" w:hAnsi="宋体" w:eastAsia="宋体" w:cs="宋体"/>
      <w:color w:val="000000"/>
      <w:sz w:val="21"/>
      <w:szCs w:val="21"/>
      <w:u w:val="none"/>
    </w:rPr>
  </w:style>
  <w:style w:type="character" w:customStyle="1" w:styleId="29">
    <w:name w:val="font21"/>
    <w:basedOn w:val="24"/>
    <w:qFormat/>
    <w:uiPriority w:val="0"/>
    <w:rPr>
      <w:rFonts w:hint="default" w:ascii="Times New Roman" w:hAnsi="Times New Roman" w:cs="Times New Roman"/>
      <w:color w:val="000000"/>
      <w:sz w:val="21"/>
      <w:szCs w:val="21"/>
      <w:u w:val="none"/>
    </w:rPr>
  </w:style>
  <w:style w:type="character" w:customStyle="1" w:styleId="30">
    <w:name w:val="font01"/>
    <w:basedOn w:val="24"/>
    <w:uiPriority w:val="0"/>
    <w:rPr>
      <w:rFonts w:hint="eastAsia" w:ascii="宋体" w:hAnsi="宋体" w:eastAsia="宋体" w:cs="宋体"/>
      <w:color w:val="000000"/>
      <w:sz w:val="22"/>
      <w:szCs w:val="22"/>
      <w:u w:val="none"/>
    </w:rPr>
  </w:style>
  <w:style w:type="character" w:customStyle="1" w:styleId="31">
    <w:name w:val="font81"/>
    <w:basedOn w:val="24"/>
    <w:uiPriority w:val="0"/>
    <w:rPr>
      <w:rFonts w:hint="eastAsia" w:ascii="宋体" w:hAnsi="宋体" w:eastAsia="宋体" w:cs="宋体"/>
      <w:color w:val="000000"/>
      <w:sz w:val="22"/>
      <w:szCs w:val="22"/>
      <w:u w:val="none"/>
    </w:rPr>
  </w:style>
  <w:style w:type="character" w:customStyle="1" w:styleId="32">
    <w:name w:val="font51"/>
    <w:basedOn w:val="24"/>
    <w:uiPriority w:val="0"/>
    <w:rPr>
      <w:rFonts w:hint="eastAsia" w:ascii="宋体" w:hAnsi="宋体" w:eastAsia="宋体" w:cs="宋体"/>
      <w:color w:val="000000"/>
      <w:sz w:val="20"/>
      <w:szCs w:val="20"/>
      <w:u w:val="none"/>
    </w:rPr>
  </w:style>
  <w:style w:type="character" w:customStyle="1" w:styleId="33">
    <w:name w:val="font91"/>
    <w:basedOn w:val="24"/>
    <w:uiPriority w:val="0"/>
    <w:rPr>
      <w:rFonts w:hint="eastAsia" w:ascii="宋体" w:hAnsi="宋体" w:eastAsia="宋体" w:cs="宋体"/>
      <w:color w:val="000000"/>
      <w:sz w:val="20"/>
      <w:szCs w:val="20"/>
      <w:u w:val="single"/>
    </w:rPr>
  </w:style>
  <w:style w:type="character" w:customStyle="1" w:styleId="34">
    <w:name w:val="font61"/>
    <w:basedOn w:val="24"/>
    <w:uiPriority w:val="0"/>
    <w:rPr>
      <w:rFonts w:hint="eastAsia" w:ascii="黑体" w:hAnsi="宋体" w:eastAsia="黑体" w:cs="黑体"/>
      <w:color w:val="000000"/>
      <w:sz w:val="24"/>
      <w:szCs w:val="24"/>
      <w:u w:val="none"/>
    </w:rPr>
  </w:style>
  <w:style w:type="character" w:customStyle="1" w:styleId="35">
    <w:name w:val="font71"/>
    <w:basedOn w:val="24"/>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2579</Words>
  <Characters>2628</Characters>
  <Lines>0</Lines>
  <Paragraphs>0</Paragraphs>
  <TotalTime>2</TotalTime>
  <ScaleCrop>false</ScaleCrop>
  <LinksUpToDate>false</LinksUpToDate>
  <CharactersWithSpaces>3148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2024-04-11T07:41:00Z</cp:lastPrinted>
  <dcterms:modified xsi:type="dcterms:W3CDTF">2025-03-28T03:14:55Z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9559A93D4C074C85A01112D07C87597D_13</vt:lpwstr>
  </property>
</Properties>
</file>